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72DC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jc w:val="center"/>
        <w:textAlignment w:val="auto"/>
        <w:rPr>
          <w:rFonts w:eastAsia="Times New Roman"/>
          <w:b/>
          <w:snapToGrid/>
          <w:color w:val="auto"/>
          <w:sz w:val="18"/>
          <w:szCs w:val="18"/>
        </w:rPr>
      </w:pPr>
      <w:r w:rsidRPr="002C113B">
        <w:rPr>
          <w:rFonts w:eastAsia="Times New Roman"/>
          <w:b/>
          <w:snapToGrid/>
          <w:color w:val="auto"/>
          <w:sz w:val="18"/>
          <w:szCs w:val="18"/>
        </w:rPr>
        <w:t>Декларация за съответствие (DoC)</w:t>
      </w:r>
    </w:p>
    <w:p w14:paraId="2E15158D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Ние, Shenzhen DOKE Electronic Co., Ltd.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801, Сграда 3, 7-ма индустриална зона, квартал Юлв, ул. Ютанг, район Гуангминг, Шенжен, Китай,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декларираме, че настоящата декларация за съответствие се издава под наша единствена отговорност и се отнася за следните продукти:</w:t>
      </w:r>
    </w:p>
    <w:p w14:paraId="79E87B77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Тип продукт: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Търговска марка: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Номера на модел(и):</w:t>
      </w:r>
    </w:p>
    <w:p w14:paraId="66D57BBD" w14:textId="7B0E4BA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Таблетен компютър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Blackview, O</w:t>
      </w:r>
      <w:r w:rsidR="00EA2411">
        <w:rPr>
          <w:rFonts w:eastAsia="Times New Roman"/>
          <w:snapToGrid/>
          <w:color w:val="auto"/>
          <w:sz w:val="18"/>
          <w:szCs w:val="18"/>
        </w:rPr>
        <w:t>SCAL</w:t>
      </w:r>
      <w:r w:rsidR="00EA2411">
        <w:rPr>
          <w:rFonts w:eastAsia="Times New Roman"/>
          <w:snapToGrid/>
          <w:color w:val="auto"/>
          <w:sz w:val="18"/>
          <w:szCs w:val="18"/>
        </w:rPr>
        <w:br/>
        <w:t>Tab 30 WIFI, Tab 30 Kids, Tab 50 WIFI, Tab</w:t>
      </w:r>
      <w:bookmarkStart w:id="0" w:name="_GoBack"/>
      <w:bookmarkEnd w:id="0"/>
      <w:r w:rsidRPr="002C113B">
        <w:rPr>
          <w:rFonts w:eastAsia="Times New Roman"/>
          <w:snapToGrid/>
          <w:color w:val="auto"/>
          <w:sz w:val="18"/>
          <w:szCs w:val="18"/>
        </w:rPr>
        <w:t xml:space="preserve"> 50 Kids</w:t>
      </w:r>
    </w:p>
    <w:p w14:paraId="26F8F713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(Име на продукта, тип или модел, партиден или сериен номер)</w:t>
      </w:r>
    </w:p>
    <w:p w14:paraId="382B5F95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Системни компоненти:</w:t>
      </w:r>
    </w:p>
    <w:p w14:paraId="72FE9C23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PIFA антена; FM: Използва се слушалка като антена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BT/Wi-Fi 2.4G: 5.11 dBi; Wi-Fi 5G: 5.77 dBi;</w:t>
      </w:r>
    </w:p>
    <w:p w14:paraId="2CB8CFB8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Адаптер 1 (Blackview):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Модел: HJ-0502000-EU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Вход: 100-240V~50/60Hz 0.3A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Изход: 5.0V 2.0A 10.0W</w:t>
      </w:r>
    </w:p>
    <w:p w14:paraId="490599FD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Адаптер 2 (OSCAL):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Модел: HJ-0502000-EU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Вход: 100-240V~50/60Hz 0.3A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Изход: 5.0V 2.0A 10.0W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Производител: Shenzhen Huajin Electronics Co., Ltd</w:t>
      </w:r>
    </w:p>
    <w:p w14:paraId="76F15812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Презареждаща литиево-йонна батерия; Модел: FHPK26106133P; Спецификация: DC 3.8V, 5100mAh, 19.38Wh; Производител: Guangdong Fenghua New Energy Co., Ltd.</w:t>
      </w:r>
    </w:p>
    <w:p w14:paraId="23CCB096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USB кабел: 100 см</w:t>
      </w:r>
    </w:p>
    <w:p w14:paraId="7E9F42AE" w14:textId="77777777" w:rsidR="000E500F" w:rsidRPr="002C113B" w:rsidRDefault="002C113B">
      <w:pPr>
        <w:spacing w:line="3403" w:lineRule="exact"/>
        <w:ind w:firstLine="1919"/>
        <w:rPr>
          <w:sz w:val="18"/>
          <w:szCs w:val="18"/>
        </w:rPr>
      </w:pPr>
      <w:r w:rsidRPr="002C113B">
        <w:rPr>
          <w:noProof/>
          <w:position w:val="-68"/>
          <w:sz w:val="18"/>
          <w:szCs w:val="18"/>
        </w:rPr>
        <w:drawing>
          <wp:inline distT="0" distB="0" distL="0" distR="0" wp14:anchorId="4BAC90FB" wp14:editId="3642D556">
            <wp:extent cx="2879725" cy="216027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979" cy="216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0565" w14:textId="77777777" w:rsidR="000E500F" w:rsidRPr="002C113B" w:rsidRDefault="000E500F">
      <w:pPr>
        <w:pStyle w:val="BodyText"/>
        <w:spacing w:line="350" w:lineRule="auto"/>
        <w:rPr>
          <w:sz w:val="18"/>
          <w:szCs w:val="18"/>
        </w:rPr>
      </w:pPr>
    </w:p>
    <w:p w14:paraId="00B1DB06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b/>
          <w:bCs/>
          <w:sz w:val="18"/>
          <w:szCs w:val="18"/>
        </w:rPr>
      </w:pPr>
      <w:r w:rsidRPr="002C113B">
        <w:rPr>
          <w:b/>
          <w:bCs/>
          <w:sz w:val="18"/>
          <w:szCs w:val="18"/>
        </w:rPr>
        <w:t>Обектът на гореописаната декларация е в съответствие с основните изисквания на приложимото хармонизационно законодателство на Съюза: Директива за радиоустройства RED (2014/53/ЕС).</w:t>
      </w:r>
    </w:p>
    <w:p w14:paraId="422C14CD" w14:textId="77777777" w:rsid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</w:p>
    <w:p w14:paraId="3026C8FA" w14:textId="77777777" w:rsid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</w:p>
    <w:p w14:paraId="5AF8EF38" w14:textId="77777777" w:rsid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</w:p>
    <w:p w14:paraId="1AFE0D5D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lastRenderedPageBreak/>
        <w:t>Следните хармонизирани стандарти и технически спецификации са приложени: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ЗДРАВЕ И БЕЗОПАСНОСТ (чл. 3, ал. 1, т. а):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EN 50566:2017; EN 62209-2:2010;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EN 62479:2010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EN IEC 62368-1:2020+A11:2020</w:t>
      </w:r>
    </w:p>
    <w:p w14:paraId="1F537058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ЕМC (чл. 3, ал. 1, т. б):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ETSI EN 301 489-1 V2.2.3 (2019-11)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ETSI EN 301 489-3 V2.1.1 (2019-03)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ETSI EN 301 489-17 V3.2.4 (2020-09)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EN 55032:2015+A1:2020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EN 55035:2017+A11:2020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EN IEC 61000-3-2:2019+A1:2021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EN 61000-3-3:2013+A2:2021</w:t>
      </w:r>
    </w:p>
    <w:p w14:paraId="5F09A55A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Радиочестотен спектър (чл. 3, ал. 2):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ETSI EN 300 328 V2.2.2 (2019-07);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ETSI EN 301 893 V2.1.1 (2017-05);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ETSI EN 300 440 V2.2.1 (2018-07)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ETSI EN 303 345-1 V1.1.1 (2019-06);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ETSI EN 303 345-3 V1.1.1 (2021-06)</w:t>
      </w:r>
    </w:p>
    <w:p w14:paraId="10194F2E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Уведомен орган:</w:t>
      </w:r>
    </w:p>
    <w:p w14:paraId="35FF5740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Уведомен орган: Eurofins Electrical and Electronic Testing NA, Inc.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Номер на органа: 0980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Извършена дейност: Модул B/C по чл. 3, ал. 1, т. а, т. б и ал. 2</w:t>
      </w:r>
    </w:p>
    <w:p w14:paraId="1FC30D4A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Номер на сертификат за ЕС-типа на изпитване: 2790-01-2024-240041</w:t>
      </w:r>
    </w:p>
    <w:p w14:paraId="18E19DF6" w14:textId="77777777" w:rsidR="002C113B" w:rsidRPr="002C113B" w:rsidRDefault="002C113B" w:rsidP="002C113B">
      <w:pPr>
        <w:kinsoku/>
        <w:autoSpaceDE/>
        <w:autoSpaceDN/>
        <w:adjustRightInd/>
        <w:snapToGrid/>
        <w:textAlignment w:val="auto"/>
        <w:rPr>
          <w:rFonts w:eastAsia="Times New Roman"/>
          <w:snapToGrid/>
          <w:color w:val="auto"/>
          <w:sz w:val="18"/>
          <w:szCs w:val="18"/>
          <w:lang w:val="bg-BG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4.1-mini</w:t>
      </w:r>
      <w:r w:rsidRPr="002C113B">
        <w:rPr>
          <w:rFonts w:eastAsia="Times New Roman"/>
          <w:snapToGrid/>
          <w:color w:val="auto"/>
          <w:sz w:val="18"/>
          <w:szCs w:val="18"/>
          <w:lang w:val="bg-BG"/>
        </w:rPr>
        <w:t xml:space="preserve"> </w:t>
      </w:r>
    </w:p>
    <w:p w14:paraId="2275A42F" w14:textId="77777777" w:rsidR="002C113B" w:rsidRPr="002C113B" w:rsidRDefault="002C113B" w:rsidP="002C113B">
      <w:pPr>
        <w:kinsoku/>
        <w:autoSpaceDE/>
        <w:autoSpaceDN/>
        <w:adjustRightInd/>
        <w:snapToGrid/>
        <w:textAlignment w:val="auto"/>
        <w:rPr>
          <w:rFonts w:eastAsia="Times New Roman"/>
          <w:snapToGrid/>
          <w:vanish/>
          <w:color w:val="auto"/>
          <w:sz w:val="18"/>
          <w:szCs w:val="18"/>
        </w:rPr>
      </w:pPr>
      <w:r w:rsidRPr="002C113B">
        <w:rPr>
          <w:sz w:val="18"/>
          <w:szCs w:val="18"/>
        </w:rPr>
        <w:t>Технически характеристики на радиочестотния сигнал (RF спецификация):</w:t>
      </w:r>
      <w:r w:rsidRPr="002C113B">
        <w:rPr>
          <w:rFonts w:eastAsia="Times New Roman"/>
          <w:snapToGrid/>
          <w:vanish/>
          <w:color w:val="auto"/>
          <w:sz w:val="18"/>
          <w:szCs w:val="18"/>
        </w:rPr>
        <w:t>Top of Form</w:t>
      </w:r>
    </w:p>
    <w:p w14:paraId="1628734C" w14:textId="77777777" w:rsidR="002C113B" w:rsidRPr="002C113B" w:rsidRDefault="002C113B" w:rsidP="002C113B">
      <w:pPr>
        <w:pBdr>
          <w:top w:val="single" w:sz="6" w:space="1" w:color="auto"/>
        </w:pBdr>
        <w:kinsoku/>
        <w:autoSpaceDE/>
        <w:autoSpaceDN/>
        <w:adjustRightInd/>
        <w:snapToGrid/>
        <w:jc w:val="center"/>
        <w:textAlignment w:val="auto"/>
        <w:rPr>
          <w:rFonts w:eastAsia="Times New Roman"/>
          <w:snapToGrid/>
          <w:vanish/>
          <w:color w:val="auto"/>
          <w:sz w:val="18"/>
          <w:szCs w:val="18"/>
        </w:rPr>
      </w:pPr>
      <w:r w:rsidRPr="002C113B">
        <w:rPr>
          <w:rFonts w:eastAsia="Times New Roman"/>
          <w:snapToGrid/>
          <w:vanish/>
          <w:color w:val="auto"/>
          <w:sz w:val="18"/>
          <w:szCs w:val="18"/>
        </w:rPr>
        <w:t>Bottom of Form</w:t>
      </w:r>
    </w:p>
    <w:p w14:paraId="28DBE461" w14:textId="77777777" w:rsidR="000E500F" w:rsidRPr="002C113B" w:rsidRDefault="000E500F">
      <w:pPr>
        <w:pStyle w:val="BodyText"/>
        <w:spacing w:before="180" w:line="196" w:lineRule="auto"/>
        <w:ind w:left="24"/>
        <w:rPr>
          <w:sz w:val="18"/>
          <w:szCs w:val="18"/>
        </w:rPr>
        <w:sectPr w:rsidR="000E500F" w:rsidRPr="002C113B" w:rsidSect="002C113B">
          <w:pgSz w:w="11907" w:h="16839"/>
          <w:pgMar w:top="1431" w:right="1785" w:bottom="0" w:left="1785" w:header="0" w:footer="0" w:gutter="0"/>
          <w:cols w:space="720" w:equalWidth="0">
            <w:col w:w="8335"/>
          </w:cols>
        </w:sectPr>
      </w:pPr>
    </w:p>
    <w:tbl>
      <w:tblPr>
        <w:tblStyle w:val="TableNormal1"/>
        <w:tblW w:w="8086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3066"/>
        <w:gridCol w:w="1631"/>
      </w:tblGrid>
      <w:tr w:rsidR="000E500F" w:rsidRPr="002C113B" w14:paraId="7CB623A7" w14:textId="77777777">
        <w:trPr>
          <w:trHeight w:val="633"/>
        </w:trPr>
        <w:tc>
          <w:tcPr>
            <w:tcW w:w="3389" w:type="dxa"/>
          </w:tcPr>
          <w:p w14:paraId="16D538CE" w14:textId="77777777" w:rsidR="000E500F" w:rsidRPr="002C113B" w:rsidRDefault="002C113B">
            <w:pPr>
              <w:pStyle w:val="TableText"/>
              <w:spacing w:before="253" w:line="194" w:lineRule="auto"/>
              <w:ind w:left="1325"/>
              <w:rPr>
                <w:lang w:val="bg-BG"/>
              </w:rPr>
            </w:pPr>
            <w:r w:rsidRPr="002C113B">
              <w:rPr>
                <w:b/>
                <w:bCs/>
                <w:spacing w:val="-2"/>
                <w:lang w:val="bg-BG"/>
              </w:rPr>
              <w:lastRenderedPageBreak/>
              <w:t>Функция</w:t>
            </w:r>
          </w:p>
        </w:tc>
        <w:tc>
          <w:tcPr>
            <w:tcW w:w="3066" w:type="dxa"/>
          </w:tcPr>
          <w:p w14:paraId="0CF0E8F7" w14:textId="77777777" w:rsidR="000E500F" w:rsidRPr="002C113B" w:rsidRDefault="002C113B">
            <w:pPr>
              <w:pStyle w:val="TableText"/>
              <w:spacing w:before="251" w:line="196" w:lineRule="auto"/>
              <w:ind w:left="634"/>
              <w:rPr>
                <w:b/>
              </w:rPr>
            </w:pPr>
            <w:r w:rsidRPr="002C113B">
              <w:rPr>
                <w:b/>
              </w:rPr>
              <w:t>Работна честота</w:t>
            </w:r>
          </w:p>
        </w:tc>
        <w:tc>
          <w:tcPr>
            <w:tcW w:w="1631" w:type="dxa"/>
          </w:tcPr>
          <w:p w14:paraId="11261311" w14:textId="77777777" w:rsidR="000E500F" w:rsidRPr="002C113B" w:rsidRDefault="002C113B">
            <w:pPr>
              <w:pStyle w:val="TableText"/>
              <w:spacing w:before="142" w:line="199" w:lineRule="auto"/>
              <w:ind w:left="245"/>
            </w:pPr>
            <w:r w:rsidRPr="002C113B">
              <w:rPr>
                <w:b/>
                <w:bCs/>
                <w:spacing w:val="-4"/>
              </w:rPr>
              <w:t>Максимална изходна RF мощност:</w:t>
            </w:r>
          </w:p>
        </w:tc>
      </w:tr>
      <w:tr w:rsidR="000E500F" w:rsidRPr="002C113B" w14:paraId="5E651AEE" w14:textId="77777777">
        <w:trPr>
          <w:trHeight w:val="317"/>
        </w:trPr>
        <w:tc>
          <w:tcPr>
            <w:tcW w:w="3389" w:type="dxa"/>
          </w:tcPr>
          <w:p w14:paraId="7282AB83" w14:textId="77777777" w:rsidR="000E500F" w:rsidRPr="002C113B" w:rsidRDefault="002C113B">
            <w:pPr>
              <w:pStyle w:val="TableText"/>
              <w:spacing w:before="90" w:line="196" w:lineRule="auto"/>
              <w:ind w:left="1163"/>
            </w:pPr>
            <w:r w:rsidRPr="002C113B">
              <w:rPr>
                <w:spacing w:val="-2"/>
              </w:rPr>
              <w:t>BT(BR+EDR)</w:t>
            </w:r>
          </w:p>
        </w:tc>
        <w:tc>
          <w:tcPr>
            <w:tcW w:w="3066" w:type="dxa"/>
          </w:tcPr>
          <w:p w14:paraId="19FAA585" w14:textId="77777777" w:rsidR="000E500F" w:rsidRPr="002C113B" w:rsidRDefault="002C113B">
            <w:pPr>
              <w:pStyle w:val="TableText"/>
              <w:spacing w:before="91" w:line="194" w:lineRule="auto"/>
              <w:ind w:left="715"/>
            </w:pPr>
            <w:r w:rsidRPr="002C113B">
              <w:rPr>
                <w:spacing w:val="3"/>
              </w:rPr>
              <w:t>2402</w:t>
            </w:r>
            <w:r w:rsidRPr="002C113B">
              <w:t>MHz</w:t>
            </w:r>
            <w:r w:rsidRPr="002C113B">
              <w:rPr>
                <w:spacing w:val="3"/>
              </w:rPr>
              <w:t>-2480</w:t>
            </w:r>
            <w:r w:rsidRPr="002C113B">
              <w:t>MHz</w:t>
            </w:r>
          </w:p>
        </w:tc>
        <w:tc>
          <w:tcPr>
            <w:tcW w:w="1631" w:type="dxa"/>
          </w:tcPr>
          <w:p w14:paraId="3FACAC91" w14:textId="77777777" w:rsidR="000E500F" w:rsidRPr="002C113B" w:rsidRDefault="002C113B">
            <w:pPr>
              <w:pStyle w:val="TableText"/>
              <w:spacing w:before="91" w:line="194" w:lineRule="auto"/>
              <w:ind w:left="484"/>
            </w:pPr>
            <w:r w:rsidRPr="002C113B">
              <w:rPr>
                <w:spacing w:val="-2"/>
              </w:rPr>
              <w:t>&lt;10dBm</w:t>
            </w:r>
          </w:p>
        </w:tc>
      </w:tr>
      <w:tr w:rsidR="000E500F" w:rsidRPr="002C113B" w14:paraId="2650D6C1" w14:textId="77777777">
        <w:trPr>
          <w:trHeight w:val="317"/>
        </w:trPr>
        <w:tc>
          <w:tcPr>
            <w:tcW w:w="3389" w:type="dxa"/>
          </w:tcPr>
          <w:p w14:paraId="67C6F7A6" w14:textId="77777777" w:rsidR="000E500F" w:rsidRPr="002C113B" w:rsidRDefault="002C113B">
            <w:pPr>
              <w:pStyle w:val="TableText"/>
              <w:spacing w:before="91" w:line="194" w:lineRule="auto"/>
              <w:ind w:left="1535"/>
            </w:pPr>
            <w:r w:rsidRPr="002C113B">
              <w:rPr>
                <w:spacing w:val="-5"/>
              </w:rPr>
              <w:t>BLE</w:t>
            </w:r>
          </w:p>
        </w:tc>
        <w:tc>
          <w:tcPr>
            <w:tcW w:w="3066" w:type="dxa"/>
          </w:tcPr>
          <w:p w14:paraId="57177751" w14:textId="77777777" w:rsidR="000E500F" w:rsidRPr="002C113B" w:rsidRDefault="002C113B">
            <w:pPr>
              <w:pStyle w:val="TableText"/>
              <w:spacing w:before="91" w:line="194" w:lineRule="auto"/>
              <w:ind w:left="715"/>
            </w:pPr>
            <w:r w:rsidRPr="002C113B">
              <w:rPr>
                <w:spacing w:val="3"/>
              </w:rPr>
              <w:t>2402</w:t>
            </w:r>
            <w:r w:rsidRPr="002C113B">
              <w:t>MHz</w:t>
            </w:r>
            <w:r w:rsidRPr="002C113B">
              <w:rPr>
                <w:spacing w:val="3"/>
              </w:rPr>
              <w:t>-2480</w:t>
            </w:r>
            <w:r w:rsidRPr="002C113B">
              <w:t>MHz</w:t>
            </w:r>
          </w:p>
        </w:tc>
        <w:tc>
          <w:tcPr>
            <w:tcW w:w="1631" w:type="dxa"/>
          </w:tcPr>
          <w:p w14:paraId="3A493A5D" w14:textId="77777777" w:rsidR="000E500F" w:rsidRPr="002C113B" w:rsidRDefault="002C113B">
            <w:pPr>
              <w:pStyle w:val="TableText"/>
              <w:spacing w:before="91" w:line="194" w:lineRule="auto"/>
              <w:ind w:left="484"/>
            </w:pPr>
            <w:r w:rsidRPr="002C113B">
              <w:rPr>
                <w:spacing w:val="-2"/>
              </w:rPr>
              <w:t>&lt;10dBm</w:t>
            </w:r>
          </w:p>
        </w:tc>
      </w:tr>
      <w:tr w:rsidR="000E500F" w:rsidRPr="002C113B" w14:paraId="51D62BAC" w14:textId="77777777">
        <w:trPr>
          <w:trHeight w:val="940"/>
        </w:trPr>
        <w:tc>
          <w:tcPr>
            <w:tcW w:w="3389" w:type="dxa"/>
          </w:tcPr>
          <w:p w14:paraId="064B8335" w14:textId="77777777" w:rsidR="000E500F" w:rsidRPr="002C113B" w:rsidRDefault="002C113B">
            <w:pPr>
              <w:pStyle w:val="TableText"/>
              <w:spacing w:before="245" w:line="312" w:lineRule="exact"/>
              <w:ind w:left="1061"/>
            </w:pPr>
            <w:r w:rsidRPr="002C113B">
              <w:rPr>
                <w:spacing w:val="-2"/>
                <w:position w:val="12"/>
              </w:rPr>
              <w:t>WIFI 802.11b/g/</w:t>
            </w:r>
          </w:p>
          <w:p w14:paraId="19F53A9C" w14:textId="77777777" w:rsidR="000E500F" w:rsidRPr="002C113B" w:rsidRDefault="002C113B">
            <w:pPr>
              <w:pStyle w:val="TableText"/>
              <w:spacing w:line="196" w:lineRule="auto"/>
              <w:ind w:left="1128"/>
            </w:pPr>
            <w:r w:rsidRPr="002C113B">
              <w:rPr>
                <w:spacing w:val="-1"/>
              </w:rPr>
              <w:t>n(HT20,HT40)</w:t>
            </w:r>
          </w:p>
        </w:tc>
        <w:tc>
          <w:tcPr>
            <w:tcW w:w="3066" w:type="dxa"/>
          </w:tcPr>
          <w:p w14:paraId="6FD6288B" w14:textId="77777777" w:rsidR="000E500F" w:rsidRPr="002C113B" w:rsidRDefault="002C113B">
            <w:pPr>
              <w:pStyle w:val="TableText"/>
              <w:spacing w:before="89" w:line="196" w:lineRule="auto"/>
              <w:ind w:left="699"/>
            </w:pPr>
            <w:r w:rsidRPr="002C113B">
              <w:rPr>
                <w:spacing w:val="-2"/>
              </w:rPr>
              <w:t>802.11b/g/n(20MHz):</w:t>
            </w:r>
          </w:p>
          <w:p w14:paraId="05DE4D58" w14:textId="77777777" w:rsidR="000E500F" w:rsidRPr="002C113B" w:rsidRDefault="002C113B">
            <w:pPr>
              <w:pStyle w:val="TableText"/>
              <w:spacing w:before="143" w:line="210" w:lineRule="auto"/>
              <w:ind w:left="872"/>
            </w:pPr>
            <w:r w:rsidRPr="002C113B">
              <w:rPr>
                <w:spacing w:val="-1"/>
              </w:rPr>
              <w:t>2412~2472MHz;</w:t>
            </w:r>
          </w:p>
          <w:p w14:paraId="3C49CB5D" w14:textId="77777777" w:rsidR="000E500F" w:rsidRPr="002C113B" w:rsidRDefault="002C113B">
            <w:pPr>
              <w:pStyle w:val="TableText"/>
              <w:spacing w:before="130" w:line="196" w:lineRule="auto"/>
              <w:ind w:left="211"/>
            </w:pPr>
            <w:r w:rsidRPr="002C113B">
              <w:rPr>
                <w:spacing w:val="-1"/>
              </w:rPr>
              <w:t>802.11n(40MHz):2422~2462MHz</w:t>
            </w:r>
          </w:p>
        </w:tc>
        <w:tc>
          <w:tcPr>
            <w:tcW w:w="1631" w:type="dxa"/>
          </w:tcPr>
          <w:p w14:paraId="760B7092" w14:textId="77777777" w:rsidR="000E500F" w:rsidRPr="002C113B" w:rsidRDefault="000E500F">
            <w:pPr>
              <w:pStyle w:val="TableText"/>
              <w:spacing w:line="349" w:lineRule="auto"/>
            </w:pPr>
          </w:p>
          <w:p w14:paraId="2FEA7D50" w14:textId="77777777" w:rsidR="000E500F" w:rsidRPr="002C113B" w:rsidRDefault="002C113B">
            <w:pPr>
              <w:pStyle w:val="TableText"/>
              <w:spacing w:before="52" w:line="194" w:lineRule="auto"/>
              <w:ind w:left="484"/>
            </w:pPr>
            <w:r w:rsidRPr="002C113B">
              <w:rPr>
                <w:spacing w:val="-2"/>
              </w:rPr>
              <w:t>&lt;20dBm</w:t>
            </w:r>
          </w:p>
        </w:tc>
      </w:tr>
      <w:tr w:rsidR="000E500F" w:rsidRPr="002C113B" w14:paraId="28BA48E9" w14:textId="77777777">
        <w:trPr>
          <w:trHeight w:val="1564"/>
        </w:trPr>
        <w:tc>
          <w:tcPr>
            <w:tcW w:w="3389" w:type="dxa"/>
          </w:tcPr>
          <w:p w14:paraId="20563583" w14:textId="77777777" w:rsidR="000E500F" w:rsidRPr="002C113B" w:rsidRDefault="000E500F">
            <w:pPr>
              <w:pStyle w:val="TableText"/>
              <w:spacing w:line="253" w:lineRule="auto"/>
            </w:pPr>
          </w:p>
          <w:p w14:paraId="264F95C5" w14:textId="77777777" w:rsidR="000E500F" w:rsidRPr="002C113B" w:rsidRDefault="000E500F">
            <w:pPr>
              <w:pStyle w:val="TableText"/>
              <w:spacing w:line="253" w:lineRule="auto"/>
            </w:pPr>
          </w:p>
          <w:p w14:paraId="56315C5D" w14:textId="77777777" w:rsidR="000E500F" w:rsidRPr="002C113B" w:rsidRDefault="002C113B">
            <w:pPr>
              <w:pStyle w:val="TableText"/>
              <w:spacing w:before="52" w:line="194" w:lineRule="auto"/>
              <w:ind w:left="1485"/>
            </w:pPr>
            <w:r w:rsidRPr="002C113B">
              <w:rPr>
                <w:spacing w:val="-1"/>
              </w:rPr>
              <w:t>Wi-Fi</w:t>
            </w:r>
          </w:p>
          <w:p w14:paraId="3EB145A9" w14:textId="77777777" w:rsidR="000E500F" w:rsidRPr="002C113B" w:rsidRDefault="002C113B">
            <w:pPr>
              <w:pStyle w:val="TableText"/>
              <w:spacing w:before="142" w:line="196" w:lineRule="auto"/>
              <w:ind w:left="115"/>
            </w:pPr>
            <w:r w:rsidRPr="002C113B">
              <w:rPr>
                <w:spacing w:val="-1"/>
              </w:rPr>
              <w:t>5.2G(802.11a/n20/n40/ac20/ac40/ac80)</w:t>
            </w:r>
          </w:p>
        </w:tc>
        <w:tc>
          <w:tcPr>
            <w:tcW w:w="3066" w:type="dxa"/>
          </w:tcPr>
          <w:p w14:paraId="31CA311F" w14:textId="77777777" w:rsidR="000E500F" w:rsidRPr="002C113B" w:rsidRDefault="002C113B">
            <w:pPr>
              <w:pStyle w:val="TableText"/>
              <w:spacing w:before="91" w:line="196" w:lineRule="auto"/>
              <w:ind w:left="1195"/>
            </w:pPr>
            <w:r w:rsidRPr="002C113B">
              <w:rPr>
                <w:spacing w:val="-3"/>
              </w:rPr>
              <w:t>802.11a/</w:t>
            </w:r>
          </w:p>
          <w:p w14:paraId="34CB4C1A" w14:textId="77777777" w:rsidR="000E500F" w:rsidRPr="002C113B" w:rsidRDefault="002C113B">
            <w:pPr>
              <w:pStyle w:val="TableText"/>
              <w:spacing w:before="142" w:line="196" w:lineRule="auto"/>
              <w:ind w:left="323"/>
            </w:pPr>
            <w:r w:rsidRPr="002C113B">
              <w:rPr>
                <w:spacing w:val="-1"/>
              </w:rPr>
              <w:t>n20/ac20:5180MHz~5240MHz</w:t>
            </w:r>
          </w:p>
          <w:p w14:paraId="7633531D" w14:textId="77777777" w:rsidR="000E500F" w:rsidRPr="002C113B" w:rsidRDefault="002C113B">
            <w:pPr>
              <w:pStyle w:val="TableText"/>
              <w:spacing w:before="144" w:line="194" w:lineRule="auto"/>
              <w:ind w:left="1269"/>
            </w:pPr>
            <w:r w:rsidRPr="002C113B">
              <w:rPr>
                <w:spacing w:val="-2"/>
              </w:rPr>
              <w:t>802.11</w:t>
            </w:r>
          </w:p>
          <w:p w14:paraId="2A087F4A" w14:textId="77777777" w:rsidR="000E500F" w:rsidRPr="002C113B" w:rsidRDefault="002C113B">
            <w:pPr>
              <w:pStyle w:val="TableText"/>
              <w:spacing w:before="143" w:line="196" w:lineRule="auto"/>
              <w:ind w:left="323"/>
            </w:pPr>
            <w:r w:rsidRPr="002C113B">
              <w:rPr>
                <w:spacing w:val="-1"/>
              </w:rPr>
              <w:t>n40/ac40:5190MHz~5230MHz</w:t>
            </w:r>
          </w:p>
          <w:p w14:paraId="2308082F" w14:textId="77777777" w:rsidR="000E500F" w:rsidRPr="002C113B" w:rsidRDefault="002C113B">
            <w:pPr>
              <w:pStyle w:val="TableText"/>
              <w:spacing w:before="144" w:line="194" w:lineRule="auto"/>
              <w:ind w:left="664"/>
            </w:pPr>
            <w:r w:rsidRPr="002C113B">
              <w:rPr>
                <w:spacing w:val="-2"/>
              </w:rPr>
              <w:t>802.11ac80:5210MHz</w:t>
            </w:r>
          </w:p>
        </w:tc>
        <w:tc>
          <w:tcPr>
            <w:tcW w:w="1631" w:type="dxa"/>
          </w:tcPr>
          <w:p w14:paraId="062EC5CD" w14:textId="77777777" w:rsidR="000E500F" w:rsidRPr="002C113B" w:rsidRDefault="000E500F">
            <w:pPr>
              <w:pStyle w:val="TableText"/>
              <w:spacing w:line="330" w:lineRule="auto"/>
            </w:pPr>
          </w:p>
          <w:p w14:paraId="4B66EAF7" w14:textId="77777777" w:rsidR="000E500F" w:rsidRPr="002C113B" w:rsidRDefault="000E500F">
            <w:pPr>
              <w:pStyle w:val="TableText"/>
              <w:spacing w:line="331" w:lineRule="auto"/>
            </w:pPr>
          </w:p>
          <w:p w14:paraId="4650E6FD" w14:textId="77777777" w:rsidR="000E500F" w:rsidRPr="002C113B" w:rsidRDefault="002C113B">
            <w:pPr>
              <w:pStyle w:val="TableText"/>
              <w:spacing w:before="51" w:line="194" w:lineRule="auto"/>
              <w:ind w:left="484"/>
            </w:pPr>
            <w:r w:rsidRPr="002C113B">
              <w:rPr>
                <w:spacing w:val="-2"/>
              </w:rPr>
              <w:t>&lt;20dBm</w:t>
            </w:r>
          </w:p>
        </w:tc>
      </w:tr>
      <w:tr w:rsidR="000E500F" w:rsidRPr="002C113B" w14:paraId="346F601A" w14:textId="77777777">
        <w:trPr>
          <w:trHeight w:val="1563"/>
        </w:trPr>
        <w:tc>
          <w:tcPr>
            <w:tcW w:w="3389" w:type="dxa"/>
          </w:tcPr>
          <w:p w14:paraId="0D8BD3B0" w14:textId="77777777" w:rsidR="000E500F" w:rsidRPr="002C113B" w:rsidRDefault="000E500F">
            <w:pPr>
              <w:pStyle w:val="TableText"/>
              <w:spacing w:line="253" w:lineRule="auto"/>
            </w:pPr>
          </w:p>
          <w:p w14:paraId="4844AD87" w14:textId="77777777" w:rsidR="000E500F" w:rsidRPr="002C113B" w:rsidRDefault="000E500F">
            <w:pPr>
              <w:pStyle w:val="TableText"/>
              <w:spacing w:line="253" w:lineRule="auto"/>
            </w:pPr>
          </w:p>
          <w:p w14:paraId="0DC1DC6D" w14:textId="77777777" w:rsidR="000E500F" w:rsidRPr="002C113B" w:rsidRDefault="002C113B">
            <w:pPr>
              <w:pStyle w:val="TableText"/>
              <w:spacing w:before="52" w:line="194" w:lineRule="auto"/>
              <w:ind w:left="1485"/>
            </w:pPr>
            <w:r w:rsidRPr="002C113B">
              <w:rPr>
                <w:spacing w:val="-1"/>
              </w:rPr>
              <w:t>Wi-Fi</w:t>
            </w:r>
          </w:p>
          <w:p w14:paraId="613206E8" w14:textId="77777777" w:rsidR="000E500F" w:rsidRPr="002C113B" w:rsidRDefault="002C113B">
            <w:pPr>
              <w:pStyle w:val="TableText"/>
              <w:spacing w:before="142" w:line="196" w:lineRule="auto"/>
              <w:ind w:left="115"/>
            </w:pPr>
            <w:r w:rsidRPr="002C113B">
              <w:rPr>
                <w:spacing w:val="-1"/>
              </w:rPr>
              <w:t>5.8G(802.11a/n20/n40/ac20/ac40/ac80)</w:t>
            </w:r>
          </w:p>
        </w:tc>
        <w:tc>
          <w:tcPr>
            <w:tcW w:w="3066" w:type="dxa"/>
          </w:tcPr>
          <w:p w14:paraId="573FCCCB" w14:textId="77777777" w:rsidR="000E500F" w:rsidRPr="002C113B" w:rsidRDefault="002C113B">
            <w:pPr>
              <w:pStyle w:val="TableText"/>
              <w:spacing w:before="91" w:line="196" w:lineRule="auto"/>
              <w:ind w:left="1195"/>
            </w:pPr>
            <w:r w:rsidRPr="002C113B">
              <w:rPr>
                <w:spacing w:val="-3"/>
              </w:rPr>
              <w:t>802.11a/</w:t>
            </w:r>
          </w:p>
          <w:p w14:paraId="45A071C5" w14:textId="77777777" w:rsidR="000E500F" w:rsidRPr="002C113B" w:rsidRDefault="002C113B">
            <w:pPr>
              <w:pStyle w:val="TableText"/>
              <w:spacing w:before="142" w:line="196" w:lineRule="auto"/>
              <w:ind w:left="323"/>
            </w:pPr>
            <w:r w:rsidRPr="002C113B">
              <w:rPr>
                <w:spacing w:val="-1"/>
              </w:rPr>
              <w:t>n20/ac20:5745MHz~5825MHz</w:t>
            </w:r>
          </w:p>
          <w:p w14:paraId="37396D3B" w14:textId="77777777" w:rsidR="000E500F" w:rsidRPr="002C113B" w:rsidRDefault="002C113B">
            <w:pPr>
              <w:pStyle w:val="TableText"/>
              <w:spacing w:before="144" w:line="194" w:lineRule="auto"/>
              <w:ind w:left="1269"/>
            </w:pPr>
            <w:r w:rsidRPr="002C113B">
              <w:rPr>
                <w:spacing w:val="-2"/>
              </w:rPr>
              <w:t>802.11</w:t>
            </w:r>
          </w:p>
          <w:p w14:paraId="31204208" w14:textId="77777777" w:rsidR="000E500F" w:rsidRPr="002C113B" w:rsidRDefault="002C113B">
            <w:pPr>
              <w:pStyle w:val="TableText"/>
              <w:spacing w:before="143" w:line="196" w:lineRule="auto"/>
              <w:ind w:left="323"/>
            </w:pPr>
            <w:r w:rsidRPr="002C113B">
              <w:rPr>
                <w:spacing w:val="-1"/>
              </w:rPr>
              <w:t>n40/ac40:5755MHz~5795MHz</w:t>
            </w:r>
          </w:p>
          <w:p w14:paraId="3D91FF54" w14:textId="77777777" w:rsidR="000E500F" w:rsidRPr="002C113B" w:rsidRDefault="002C113B">
            <w:pPr>
              <w:pStyle w:val="TableText"/>
              <w:spacing w:before="145" w:line="194" w:lineRule="auto"/>
              <w:ind w:left="664"/>
            </w:pPr>
            <w:r w:rsidRPr="002C113B">
              <w:rPr>
                <w:spacing w:val="-2"/>
              </w:rPr>
              <w:t>802.11ac80:5775MHz</w:t>
            </w:r>
          </w:p>
        </w:tc>
        <w:tc>
          <w:tcPr>
            <w:tcW w:w="1631" w:type="dxa"/>
          </w:tcPr>
          <w:p w14:paraId="24FD0BDD" w14:textId="77777777" w:rsidR="000E500F" w:rsidRPr="002C113B" w:rsidRDefault="000E500F">
            <w:pPr>
              <w:pStyle w:val="TableText"/>
              <w:spacing w:line="330" w:lineRule="auto"/>
            </w:pPr>
          </w:p>
          <w:p w14:paraId="1ABCE8AA" w14:textId="77777777" w:rsidR="000E500F" w:rsidRPr="002C113B" w:rsidRDefault="000E500F">
            <w:pPr>
              <w:pStyle w:val="TableText"/>
              <w:spacing w:line="331" w:lineRule="auto"/>
            </w:pPr>
          </w:p>
          <w:p w14:paraId="5C369141" w14:textId="77777777" w:rsidR="000E500F" w:rsidRPr="002C113B" w:rsidRDefault="002C113B">
            <w:pPr>
              <w:pStyle w:val="TableText"/>
              <w:spacing w:before="52" w:line="194" w:lineRule="auto"/>
              <w:ind w:left="359"/>
            </w:pPr>
            <w:r w:rsidRPr="002C113B">
              <w:rPr>
                <w:spacing w:val="-2"/>
              </w:rPr>
              <w:t>&lt;13.98dBm</w:t>
            </w:r>
          </w:p>
        </w:tc>
      </w:tr>
      <w:tr w:rsidR="000E500F" w:rsidRPr="002C113B" w14:paraId="6A0C4CA2" w14:textId="77777777">
        <w:trPr>
          <w:trHeight w:val="322"/>
        </w:trPr>
        <w:tc>
          <w:tcPr>
            <w:tcW w:w="3389" w:type="dxa"/>
          </w:tcPr>
          <w:p w14:paraId="2FC69818" w14:textId="77777777" w:rsidR="000E500F" w:rsidRPr="002C113B" w:rsidRDefault="002C113B">
            <w:pPr>
              <w:pStyle w:val="TableText"/>
              <w:spacing w:before="95" w:line="194" w:lineRule="auto"/>
              <w:ind w:left="1576"/>
            </w:pPr>
            <w:r w:rsidRPr="002C113B">
              <w:rPr>
                <w:spacing w:val="-4"/>
              </w:rPr>
              <w:t>FM</w:t>
            </w:r>
          </w:p>
        </w:tc>
        <w:tc>
          <w:tcPr>
            <w:tcW w:w="3066" w:type="dxa"/>
          </w:tcPr>
          <w:p w14:paraId="70C5919B" w14:textId="77777777" w:rsidR="000E500F" w:rsidRPr="002C113B" w:rsidRDefault="002C113B">
            <w:pPr>
              <w:pStyle w:val="TableText"/>
              <w:spacing w:before="93" w:line="196" w:lineRule="auto"/>
              <w:ind w:left="212"/>
            </w:pPr>
            <w:r w:rsidRPr="002C113B">
              <w:rPr>
                <w:spacing w:val="-1"/>
              </w:rPr>
              <w:t>Rx(Downlink): 87.5MHz~108MHz</w:t>
            </w:r>
          </w:p>
        </w:tc>
        <w:tc>
          <w:tcPr>
            <w:tcW w:w="1631" w:type="dxa"/>
          </w:tcPr>
          <w:p w14:paraId="666FCCAF" w14:textId="77777777" w:rsidR="000E500F" w:rsidRPr="002C113B" w:rsidRDefault="002C113B">
            <w:pPr>
              <w:pStyle w:val="TableText"/>
              <w:spacing w:before="170" w:line="92" w:lineRule="exact"/>
              <w:ind w:left="758"/>
            </w:pPr>
            <w:r w:rsidRPr="002C113B">
              <w:rPr>
                <w:spacing w:val="-2"/>
                <w:position w:val="-2"/>
              </w:rPr>
              <w:t>--</w:t>
            </w:r>
          </w:p>
        </w:tc>
      </w:tr>
    </w:tbl>
    <w:p w14:paraId="74E4D4BD" w14:textId="77777777" w:rsidR="002C113B" w:rsidRPr="002C113B" w:rsidRDefault="002C113B">
      <w:pPr>
        <w:pStyle w:val="BodyText"/>
        <w:spacing w:before="97" w:line="196" w:lineRule="auto"/>
        <w:ind w:left="116"/>
        <w:rPr>
          <w:color w:val="201F1F"/>
          <w:sz w:val="18"/>
          <w:szCs w:val="18"/>
        </w:rPr>
      </w:pPr>
    </w:p>
    <w:p w14:paraId="09C25A76" w14:textId="77777777" w:rsidR="002C113B" w:rsidRPr="002C113B" w:rsidRDefault="002C113B">
      <w:pPr>
        <w:pStyle w:val="BodyText"/>
        <w:spacing w:before="97" w:line="196" w:lineRule="auto"/>
        <w:ind w:left="116"/>
        <w:rPr>
          <w:color w:val="201F1F"/>
          <w:sz w:val="18"/>
          <w:szCs w:val="18"/>
        </w:rPr>
      </w:pPr>
    </w:p>
    <w:p w14:paraId="001527D4" w14:textId="77777777" w:rsidR="002C113B" w:rsidRPr="002C113B" w:rsidRDefault="002C113B">
      <w:pPr>
        <w:pStyle w:val="BodyText"/>
        <w:spacing w:before="97" w:line="196" w:lineRule="auto"/>
        <w:ind w:left="116"/>
        <w:rPr>
          <w:color w:val="201F1F"/>
          <w:sz w:val="18"/>
          <w:szCs w:val="18"/>
        </w:rPr>
      </w:pPr>
    </w:p>
    <w:p w14:paraId="46A5A404" w14:textId="77777777" w:rsidR="002C113B" w:rsidRPr="002C113B" w:rsidRDefault="002C113B">
      <w:pPr>
        <w:pStyle w:val="BodyText"/>
        <w:spacing w:before="97" w:line="196" w:lineRule="auto"/>
        <w:ind w:left="116"/>
        <w:rPr>
          <w:color w:val="201F1F"/>
          <w:sz w:val="18"/>
          <w:szCs w:val="18"/>
        </w:rPr>
      </w:pPr>
    </w:p>
    <w:p w14:paraId="5B92098A" w14:textId="77777777" w:rsidR="002C113B" w:rsidRPr="002C113B" w:rsidRDefault="002C113B">
      <w:pPr>
        <w:pStyle w:val="BodyText"/>
        <w:spacing w:before="141" w:line="307" w:lineRule="auto"/>
        <w:ind w:left="118" w:right="438" w:firstLine="5"/>
        <w:rPr>
          <w:color w:val="201F1F"/>
          <w:sz w:val="18"/>
          <w:szCs w:val="18"/>
        </w:rPr>
      </w:pPr>
      <w:r w:rsidRPr="002C113B">
        <w:rPr>
          <w:color w:val="201F1F"/>
          <w:sz w:val="18"/>
          <w:szCs w:val="18"/>
        </w:rPr>
        <w:t>Тестовете за SAR се провеждат, използвайки стандартни работни положения, като устройството излъчва при най-високата си сертифицирана мощност във всички тествани честотни ленти. Максималните измерени стойности на SAR за това устройство при нормално поставяне до ухото и при използване близо до тялото (на минимално разстояние 0 мм) са:</w:t>
      </w:r>
    </w:p>
    <w:p w14:paraId="0C84E3AE" w14:textId="77777777" w:rsidR="002C113B" w:rsidRPr="002C113B" w:rsidRDefault="002C113B">
      <w:pPr>
        <w:pStyle w:val="BodyText"/>
        <w:spacing w:before="141" w:line="307" w:lineRule="auto"/>
        <w:ind w:left="118" w:right="438" w:firstLine="5"/>
        <w:rPr>
          <w:sz w:val="18"/>
          <w:szCs w:val="18"/>
        </w:rPr>
      </w:pPr>
    </w:p>
    <w:p w14:paraId="611F36F1" w14:textId="77777777" w:rsidR="000E500F" w:rsidRPr="002C113B" w:rsidRDefault="000E500F">
      <w:pPr>
        <w:spacing w:line="54" w:lineRule="exact"/>
        <w:rPr>
          <w:sz w:val="18"/>
          <w:szCs w:val="18"/>
        </w:rPr>
      </w:pPr>
    </w:p>
    <w:tbl>
      <w:tblPr>
        <w:tblStyle w:val="TableNormal1"/>
        <w:tblW w:w="606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42"/>
        <w:gridCol w:w="1705"/>
      </w:tblGrid>
      <w:tr w:rsidR="000E500F" w:rsidRPr="002C113B" w14:paraId="6241CB5C" w14:textId="77777777">
        <w:trPr>
          <w:trHeight w:val="641"/>
        </w:trPr>
        <w:tc>
          <w:tcPr>
            <w:tcW w:w="2520" w:type="dxa"/>
          </w:tcPr>
          <w:p w14:paraId="058BA641" w14:textId="77777777" w:rsidR="000E500F" w:rsidRPr="002C113B" w:rsidRDefault="002C113B">
            <w:pPr>
              <w:pStyle w:val="TableText"/>
              <w:spacing w:before="93" w:line="196" w:lineRule="auto"/>
              <w:ind w:left="121"/>
            </w:pPr>
            <w:r w:rsidRPr="002C113B">
              <w:rPr>
                <w:color w:val="201F1F"/>
                <w:spacing w:val="-1"/>
              </w:rPr>
              <w:t>Max SAR Value(W/kg)</w:t>
            </w:r>
          </w:p>
          <w:p w14:paraId="5975B1E7" w14:textId="77777777" w:rsidR="000E500F" w:rsidRPr="002C113B" w:rsidRDefault="002C113B">
            <w:pPr>
              <w:pStyle w:val="TableText"/>
              <w:spacing w:before="142" w:line="196" w:lineRule="auto"/>
              <w:ind w:left="120"/>
            </w:pPr>
            <w:r w:rsidRPr="002C113B">
              <w:rPr>
                <w:color w:val="201F1F"/>
                <w:spacing w:val="-2"/>
              </w:rPr>
              <w:t>Limit</w:t>
            </w:r>
            <w:r w:rsidRPr="002C113B">
              <w:rPr>
                <w:color w:val="201F1F"/>
                <w:spacing w:val="17"/>
                <w:w w:val="101"/>
              </w:rPr>
              <w:t xml:space="preserve"> </w:t>
            </w:r>
            <w:r w:rsidRPr="002C113B">
              <w:rPr>
                <w:color w:val="201F1F"/>
                <w:spacing w:val="-2"/>
              </w:rPr>
              <w:t>is 2.0(W/kg) for</w:t>
            </w:r>
            <w:r w:rsidRPr="002C113B">
              <w:rPr>
                <w:color w:val="201F1F"/>
                <w:spacing w:val="17"/>
                <w:w w:val="101"/>
              </w:rPr>
              <w:t xml:space="preserve"> </w:t>
            </w:r>
            <w:r w:rsidRPr="002C113B">
              <w:rPr>
                <w:color w:val="201F1F"/>
                <w:spacing w:val="-2"/>
              </w:rPr>
              <w:t>10-g</w:t>
            </w:r>
          </w:p>
        </w:tc>
        <w:tc>
          <w:tcPr>
            <w:tcW w:w="1842" w:type="dxa"/>
          </w:tcPr>
          <w:p w14:paraId="1336BDCB" w14:textId="77777777" w:rsidR="000E500F" w:rsidRPr="002C113B" w:rsidRDefault="002C113B">
            <w:pPr>
              <w:pStyle w:val="TableText"/>
              <w:spacing w:before="254" w:line="196" w:lineRule="auto"/>
              <w:ind w:left="125"/>
            </w:pPr>
            <w:r w:rsidRPr="002C113B">
              <w:rPr>
                <w:color w:val="201F1F"/>
                <w:spacing w:val="-5"/>
              </w:rPr>
              <w:t>10-g</w:t>
            </w:r>
            <w:r w:rsidRPr="002C113B">
              <w:rPr>
                <w:color w:val="201F1F"/>
                <w:spacing w:val="19"/>
              </w:rPr>
              <w:t xml:space="preserve"> </w:t>
            </w:r>
            <w:r w:rsidRPr="002C113B">
              <w:rPr>
                <w:color w:val="201F1F"/>
                <w:spacing w:val="-5"/>
              </w:rPr>
              <w:t>Body</w:t>
            </w:r>
          </w:p>
        </w:tc>
        <w:tc>
          <w:tcPr>
            <w:tcW w:w="1705" w:type="dxa"/>
          </w:tcPr>
          <w:p w14:paraId="361BC42D" w14:textId="77777777" w:rsidR="000E500F" w:rsidRPr="002C113B" w:rsidRDefault="002C113B">
            <w:pPr>
              <w:pStyle w:val="TableText"/>
              <w:spacing w:before="254" w:line="196" w:lineRule="auto"/>
              <w:ind w:left="114"/>
            </w:pPr>
            <w:r w:rsidRPr="002C113B">
              <w:rPr>
                <w:color w:val="201F1F"/>
                <w:spacing w:val="-1"/>
              </w:rPr>
              <w:t>0.411W/kg</w:t>
            </w:r>
          </w:p>
        </w:tc>
      </w:tr>
      <w:tr w:rsidR="000E500F" w:rsidRPr="002C113B" w14:paraId="264A10D4" w14:textId="77777777">
        <w:trPr>
          <w:trHeight w:val="319"/>
        </w:trPr>
        <w:tc>
          <w:tcPr>
            <w:tcW w:w="2520" w:type="dxa"/>
          </w:tcPr>
          <w:p w14:paraId="11238089" w14:textId="77777777" w:rsidR="000E500F" w:rsidRPr="002C113B" w:rsidRDefault="002C113B">
            <w:pPr>
              <w:pStyle w:val="TableText"/>
              <w:spacing w:before="92" w:line="196" w:lineRule="auto"/>
              <w:ind w:left="120"/>
            </w:pPr>
            <w:r w:rsidRPr="002C113B">
              <w:rPr>
                <w:color w:val="201F1F"/>
                <w:spacing w:val="-2"/>
              </w:rPr>
              <w:t>Limit</w:t>
            </w:r>
            <w:r w:rsidRPr="002C113B">
              <w:rPr>
                <w:color w:val="201F1F"/>
                <w:spacing w:val="17"/>
                <w:w w:val="101"/>
              </w:rPr>
              <w:t xml:space="preserve"> </w:t>
            </w:r>
            <w:r w:rsidRPr="002C113B">
              <w:rPr>
                <w:color w:val="201F1F"/>
                <w:spacing w:val="-2"/>
              </w:rPr>
              <w:t>is 4.0(W/kg) for</w:t>
            </w:r>
            <w:r w:rsidRPr="002C113B">
              <w:rPr>
                <w:color w:val="201F1F"/>
                <w:spacing w:val="17"/>
                <w:w w:val="101"/>
              </w:rPr>
              <w:t xml:space="preserve"> </w:t>
            </w:r>
            <w:r w:rsidRPr="002C113B">
              <w:rPr>
                <w:color w:val="201F1F"/>
                <w:spacing w:val="-2"/>
              </w:rPr>
              <w:t>10-g</w:t>
            </w:r>
          </w:p>
        </w:tc>
        <w:tc>
          <w:tcPr>
            <w:tcW w:w="1842" w:type="dxa"/>
          </w:tcPr>
          <w:p w14:paraId="1A06C1C4" w14:textId="77777777" w:rsidR="000E500F" w:rsidRPr="002C113B" w:rsidRDefault="002C113B">
            <w:pPr>
              <w:pStyle w:val="TableText"/>
              <w:spacing w:before="92" w:line="196" w:lineRule="auto"/>
              <w:ind w:left="125"/>
            </w:pPr>
            <w:r w:rsidRPr="002C113B">
              <w:rPr>
                <w:color w:val="201F1F"/>
                <w:spacing w:val="-4"/>
              </w:rPr>
              <w:t>10-g</w:t>
            </w:r>
            <w:r w:rsidRPr="002C113B">
              <w:rPr>
                <w:color w:val="201F1F"/>
                <w:spacing w:val="23"/>
              </w:rPr>
              <w:t xml:space="preserve"> </w:t>
            </w:r>
            <w:r w:rsidRPr="002C113B">
              <w:rPr>
                <w:color w:val="201F1F"/>
                <w:spacing w:val="-4"/>
              </w:rPr>
              <w:t>Member</w:t>
            </w:r>
            <w:r w:rsidRPr="002C113B">
              <w:rPr>
                <w:color w:val="201F1F"/>
                <w:spacing w:val="12"/>
                <w:w w:val="101"/>
              </w:rPr>
              <w:t xml:space="preserve"> </w:t>
            </w:r>
            <w:r w:rsidRPr="002C113B">
              <w:rPr>
                <w:color w:val="201F1F"/>
                <w:spacing w:val="-4"/>
              </w:rPr>
              <w:t>DAS</w:t>
            </w:r>
          </w:p>
        </w:tc>
        <w:tc>
          <w:tcPr>
            <w:tcW w:w="1705" w:type="dxa"/>
          </w:tcPr>
          <w:p w14:paraId="1044464F" w14:textId="77777777" w:rsidR="000E500F" w:rsidRPr="002C113B" w:rsidRDefault="002C113B">
            <w:pPr>
              <w:pStyle w:val="TableText"/>
              <w:spacing w:before="92" w:line="196" w:lineRule="auto"/>
              <w:ind w:left="114"/>
            </w:pPr>
            <w:r w:rsidRPr="002C113B">
              <w:rPr>
                <w:color w:val="201F1F"/>
                <w:spacing w:val="-1"/>
              </w:rPr>
              <w:t>0.642W/kg</w:t>
            </w:r>
          </w:p>
        </w:tc>
      </w:tr>
    </w:tbl>
    <w:p w14:paraId="02745D7A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Техническата документация се съхранява от: Shenzhen DOKE Electronic Co., Ltd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Адрес: 801, Сграда 3, 7-ма индустриална зона, общност Юлв, улица Ютанг, район Гуангмин, Шенжен, Китай.</w:t>
      </w:r>
    </w:p>
    <w:p w14:paraId="4532B73C" w14:textId="77777777" w:rsidR="002C113B" w:rsidRPr="002C113B" w:rsidRDefault="002C113B" w:rsidP="002C113B">
      <w:pPr>
        <w:kinsoku/>
        <w:autoSpaceDE/>
        <w:autoSpaceDN/>
        <w:adjustRightInd/>
        <w:snapToGrid/>
        <w:spacing w:before="100" w:beforeAutospacing="1" w:after="100" w:afterAutospacing="1"/>
        <w:textAlignment w:val="auto"/>
        <w:rPr>
          <w:rFonts w:eastAsia="Times New Roman"/>
          <w:snapToGrid/>
          <w:color w:val="auto"/>
          <w:sz w:val="18"/>
          <w:szCs w:val="18"/>
        </w:rPr>
      </w:pPr>
      <w:r w:rsidRPr="002C113B">
        <w:rPr>
          <w:rFonts w:eastAsia="Times New Roman"/>
          <w:snapToGrid/>
          <w:color w:val="auto"/>
          <w:sz w:val="18"/>
          <w:szCs w:val="18"/>
        </w:rPr>
        <w:t>Подписано от името и за сметка на: Shenzhen DOKE Electronic Co., Ltd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Име и длъжност: Zhang Liuwei / Мениджър</w:t>
      </w:r>
      <w:r w:rsidRPr="002C113B">
        <w:rPr>
          <w:rFonts w:eastAsia="Times New Roman"/>
          <w:snapToGrid/>
          <w:color w:val="auto"/>
          <w:sz w:val="18"/>
          <w:szCs w:val="18"/>
        </w:rPr>
        <w:br/>
        <w:t>Адрес: 801, Сграда 3, 7-ма индустриална зона, общност Юлв, улица Ютанг, район Гуангмин, Шенжен, Китай.</w:t>
      </w:r>
    </w:p>
    <w:p w14:paraId="45AC4F31" w14:textId="77777777" w:rsidR="000E500F" w:rsidRPr="002C113B" w:rsidRDefault="000E500F">
      <w:pPr>
        <w:pStyle w:val="BodyText"/>
        <w:spacing w:line="342" w:lineRule="auto"/>
        <w:rPr>
          <w:sz w:val="18"/>
          <w:szCs w:val="18"/>
        </w:rPr>
      </w:pPr>
    </w:p>
    <w:p w14:paraId="7E66E5D6" w14:textId="77777777" w:rsidR="000E500F" w:rsidRPr="002C113B" w:rsidRDefault="000E500F">
      <w:pPr>
        <w:pStyle w:val="BodyText"/>
        <w:spacing w:line="343" w:lineRule="auto"/>
        <w:rPr>
          <w:sz w:val="18"/>
          <w:szCs w:val="18"/>
        </w:rPr>
      </w:pPr>
    </w:p>
    <w:p w14:paraId="4C8C372E" w14:textId="77777777" w:rsidR="000E500F" w:rsidRPr="002C113B" w:rsidRDefault="002C113B">
      <w:pPr>
        <w:spacing w:before="1" w:line="302" w:lineRule="exact"/>
        <w:ind w:firstLine="6797"/>
        <w:rPr>
          <w:sz w:val="18"/>
          <w:szCs w:val="18"/>
        </w:rPr>
      </w:pPr>
      <w:r w:rsidRPr="002C113B">
        <w:rPr>
          <w:noProof/>
          <w:position w:val="-6"/>
          <w:sz w:val="18"/>
          <w:szCs w:val="18"/>
        </w:rPr>
        <w:drawing>
          <wp:inline distT="0" distB="0" distL="0" distR="0" wp14:anchorId="3CFF0A27" wp14:editId="1F353FB4">
            <wp:extent cx="1029335" cy="19177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9550" cy="19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DC40A" w14:textId="77777777" w:rsidR="002C113B" w:rsidRPr="002C113B" w:rsidRDefault="002C113B">
      <w:pPr>
        <w:pStyle w:val="BodyText"/>
        <w:spacing w:before="86" w:line="261" w:lineRule="auto"/>
        <w:ind w:left="7401" w:right="42" w:hanging="1752"/>
        <w:rPr>
          <w:spacing w:val="-3"/>
          <w:sz w:val="18"/>
          <w:szCs w:val="18"/>
        </w:rPr>
      </w:pPr>
      <w:r w:rsidRPr="002C113B">
        <w:rPr>
          <w:sz w:val="18"/>
          <w:szCs w:val="18"/>
        </w:rPr>
        <w:t>Подпис на упълномощено лице</w:t>
      </w:r>
      <w:r w:rsidRPr="002C113B">
        <w:rPr>
          <w:spacing w:val="-3"/>
          <w:sz w:val="18"/>
          <w:szCs w:val="18"/>
        </w:rPr>
        <w:t xml:space="preserve"> </w:t>
      </w:r>
    </w:p>
    <w:p w14:paraId="08C695CB" w14:textId="77777777" w:rsidR="000E500F" w:rsidRPr="002C113B" w:rsidRDefault="002C113B">
      <w:pPr>
        <w:pStyle w:val="BodyText"/>
        <w:spacing w:before="86" w:line="261" w:lineRule="auto"/>
        <w:ind w:left="7401" w:right="42" w:hanging="1752"/>
        <w:rPr>
          <w:sz w:val="18"/>
          <w:szCs w:val="18"/>
        </w:rPr>
      </w:pPr>
      <w:r w:rsidRPr="002C113B">
        <w:rPr>
          <w:spacing w:val="-3"/>
          <w:sz w:val="18"/>
          <w:szCs w:val="18"/>
        </w:rPr>
        <w:t>2024-01-</w:t>
      </w:r>
      <w:r w:rsidRPr="002C113B">
        <w:rPr>
          <w:spacing w:val="-31"/>
          <w:sz w:val="18"/>
          <w:szCs w:val="18"/>
        </w:rPr>
        <w:t xml:space="preserve"> </w:t>
      </w:r>
      <w:r w:rsidRPr="002C113B">
        <w:rPr>
          <w:spacing w:val="-3"/>
          <w:sz w:val="18"/>
          <w:szCs w:val="18"/>
        </w:rPr>
        <w:t>16</w:t>
      </w:r>
    </w:p>
    <w:sectPr w:rsidR="000E500F" w:rsidRPr="002C113B">
      <w:pgSz w:w="11907" w:h="16839"/>
      <w:pgMar w:top="1431" w:right="1754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E6F8D" w14:textId="77777777" w:rsidR="00AA0F1E" w:rsidRDefault="00AA0F1E">
      <w:r>
        <w:separator/>
      </w:r>
    </w:p>
  </w:endnote>
  <w:endnote w:type="continuationSeparator" w:id="0">
    <w:p w14:paraId="12BB727A" w14:textId="77777777" w:rsidR="00AA0F1E" w:rsidRDefault="00AA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C8EC0" w14:textId="77777777" w:rsidR="00AA0F1E" w:rsidRDefault="00AA0F1E">
      <w:r>
        <w:separator/>
      </w:r>
    </w:p>
  </w:footnote>
  <w:footnote w:type="continuationSeparator" w:id="0">
    <w:p w14:paraId="67F43C43" w14:textId="77777777" w:rsidR="00AA0F1E" w:rsidRDefault="00AA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YjMyNTBiZWZhNDBlMjViMGE1OThjOGE5YmIzZTUifQ=="/>
  </w:docVars>
  <w:rsids>
    <w:rsidRoot w:val="000E500F"/>
    <w:rsid w:val="000E500F"/>
    <w:rsid w:val="002C113B"/>
    <w:rsid w:val="00AA0F1E"/>
    <w:rsid w:val="00EA2411"/>
    <w:rsid w:val="2D6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8B2D"/>
  <w15:docId w15:val="{2B404BDB-4BAD-4629-AFA7-F67C8A98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sz w:val="15"/>
      <w:szCs w:val="15"/>
    </w:rPr>
  </w:style>
  <w:style w:type="table" w:customStyle="1" w:styleId="TableNormal1">
    <w:name w:val="Table Normal1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sz w:val="18"/>
      <w:szCs w:val="18"/>
    </w:rPr>
  </w:style>
  <w:style w:type="character" w:customStyle="1" w:styleId="overflow-hidden">
    <w:name w:val="overflow-hidden"/>
    <w:basedOn w:val="DefaultParagraphFont"/>
    <w:rsid w:val="002C113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113B"/>
    <w:pPr>
      <w:pBdr>
        <w:bottom w:val="single" w:sz="6" w:space="1" w:color="auto"/>
      </w:pBdr>
      <w:kinsoku/>
      <w:autoSpaceDE/>
      <w:autoSpaceDN/>
      <w:adjustRightInd/>
      <w:snapToGrid/>
      <w:jc w:val="center"/>
      <w:textAlignment w:val="auto"/>
    </w:pPr>
    <w:rPr>
      <w:rFonts w:eastAsia="Times New Roman"/>
      <w:snapToGrid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113B"/>
    <w:rPr>
      <w:rFonts w:eastAsia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113B"/>
    <w:pPr>
      <w:pBdr>
        <w:top w:val="single" w:sz="6" w:space="1" w:color="auto"/>
      </w:pBdr>
      <w:kinsoku/>
      <w:autoSpaceDE/>
      <w:autoSpaceDN/>
      <w:adjustRightInd/>
      <w:snapToGrid/>
      <w:jc w:val="center"/>
      <w:textAlignment w:val="auto"/>
    </w:pPr>
    <w:rPr>
      <w:rFonts w:eastAsia="Times New Roman"/>
      <w:snapToGrid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113B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6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9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2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63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4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9" ma:contentTypeDescription="Create a new document." ma:contentTypeScope="" ma:versionID="54cd68f157b1569b2fc34ce8b0c6f0f5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7b99877816d37ef0aa6a3fa32c943b43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29998A7C-2F86-49C9-86A8-75D5E1FE3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B53BA-7574-4E02-8776-84B2815E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AA80B-7E78-4029-BF6A-0F9594B28707}">
  <ds:schemaRefs>
    <ds:schemaRef ds:uri="http://schemas.microsoft.com/office/2006/metadata/properties"/>
    <ds:schemaRef ds:uri="http://schemas.microsoft.com/office/infopath/2007/PartnerControls"/>
    <ds:schemaRef ds:uri="50e6cfbe-33d0-482c-984f-d8135472bd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ntek205</dc:creator>
  <cp:lastModifiedBy>SA Nikolay Ivanov</cp:lastModifiedBy>
  <cp:revision>3</cp:revision>
  <dcterms:created xsi:type="dcterms:W3CDTF">2025-05-19T12:43:00Z</dcterms:created>
  <dcterms:modified xsi:type="dcterms:W3CDTF">2025-05-22T12:35:00Z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2024-01-19T18:49:55Z</vt:filetime>
  </property>
  <property fmtid="{D5CDD505-2E9C-101B-9397-08002B2CF9AE}" pid="4" name="KSOProductBuildVer">
    <vt:lpwstr>2052-12.1.0.16250</vt:lpwstr>
  </property>
  <property fmtid="{D5CDD505-2E9C-101B-9397-08002B2CF9AE}" pid="5" name="ICV">
    <vt:lpwstr>E44B271B7CB84B09B1BD4934FFF5E066_12</vt:lpwstr>
  </property>
  <property fmtid="{D5CDD505-2E9C-101B-9397-08002B2CF9AE}" pid="6" name="ContentTypeId">
    <vt:lpwstr>0x01010034B2792FAA041741AE65E7D3F5969C01</vt:lpwstr>
  </property>
</Properties>
</file>