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6003" w14:textId="77777777" w:rsid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</w:pPr>
      <w:bookmarkStart w:id="0" w:name="_Hlk198131781"/>
      <w:bookmarkStart w:id="1" w:name="_GoBack"/>
      <w:bookmarkEnd w:id="1"/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Декларация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за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съответствие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</w:p>
    <w:p w14:paraId="6B8941D5" w14:textId="77777777" w:rsidR="00DB3005" w:rsidRP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ascii="Arial" w:eastAsia="Arial" w:hAnsi="Arial" w:cs="Arial"/>
          <w:snapToGrid w:val="0"/>
          <w:color w:val="000000"/>
          <w:spacing w:val="-1"/>
          <w:sz w:val="40"/>
          <w:szCs w:val="40"/>
        </w:rPr>
      </w:pPr>
    </w:p>
    <w:p w14:paraId="0BAF740E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p w14:paraId="6503F14F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Ние</w:t>
      </w:r>
      <w:proofErr w:type="spellEnd"/>
      <w:r w:rsidRPr="00DB3005">
        <w:rPr>
          <w:spacing w:val="-1"/>
          <w:sz w:val="22"/>
          <w:szCs w:val="22"/>
        </w:rPr>
        <w:t>, Shenzhen DOKE Electronic Co., Ltd.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801, </w:t>
      </w:r>
      <w:proofErr w:type="spellStart"/>
      <w:r w:rsidRPr="00DB3005">
        <w:rPr>
          <w:spacing w:val="-1"/>
          <w:sz w:val="22"/>
          <w:szCs w:val="22"/>
        </w:rPr>
        <w:t>Сграда</w:t>
      </w:r>
      <w:proofErr w:type="spellEnd"/>
      <w:r w:rsidRPr="00DB3005">
        <w:rPr>
          <w:spacing w:val="-1"/>
          <w:sz w:val="22"/>
          <w:szCs w:val="22"/>
        </w:rPr>
        <w:t xml:space="preserve"> 3, 7-ма </w:t>
      </w:r>
      <w:proofErr w:type="spellStart"/>
      <w:r w:rsidRPr="00DB3005">
        <w:rPr>
          <w:spacing w:val="-1"/>
          <w:sz w:val="22"/>
          <w:szCs w:val="22"/>
        </w:rPr>
        <w:t>индустриална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зона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общност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Yulv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улица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Yutang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район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Guangming</w:t>
      </w:r>
      <w:proofErr w:type="spellEnd"/>
      <w:r w:rsidRPr="00DB3005">
        <w:rPr>
          <w:spacing w:val="-1"/>
          <w:sz w:val="22"/>
          <w:szCs w:val="22"/>
        </w:rPr>
        <w:t xml:space="preserve">, Shenzhen, </w:t>
      </w:r>
      <w:proofErr w:type="spellStart"/>
      <w:r w:rsidRPr="00DB3005">
        <w:rPr>
          <w:spacing w:val="-1"/>
          <w:sz w:val="22"/>
          <w:szCs w:val="22"/>
        </w:rPr>
        <w:t>Китай</w:t>
      </w:r>
      <w:proofErr w:type="spellEnd"/>
      <w:r w:rsidRPr="00DB3005">
        <w:rPr>
          <w:spacing w:val="-1"/>
          <w:sz w:val="22"/>
          <w:szCs w:val="22"/>
        </w:rPr>
        <w:t>.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Декларираме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че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DoC</w:t>
      </w:r>
      <w:proofErr w:type="spellEnd"/>
      <w:r w:rsidRPr="00DB3005">
        <w:rPr>
          <w:spacing w:val="-1"/>
          <w:sz w:val="22"/>
          <w:szCs w:val="22"/>
        </w:rPr>
        <w:t xml:space="preserve"> е </w:t>
      </w:r>
      <w:proofErr w:type="spellStart"/>
      <w:r w:rsidRPr="00DB3005">
        <w:rPr>
          <w:spacing w:val="-1"/>
          <w:sz w:val="22"/>
          <w:szCs w:val="22"/>
        </w:rPr>
        <w:t>издаден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под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наша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единствена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отговорност</w:t>
      </w:r>
      <w:proofErr w:type="spellEnd"/>
      <w:r w:rsidRPr="00DB3005">
        <w:rPr>
          <w:spacing w:val="-1"/>
          <w:sz w:val="22"/>
          <w:szCs w:val="22"/>
        </w:rPr>
        <w:t xml:space="preserve"> и </w:t>
      </w:r>
      <w:proofErr w:type="spellStart"/>
      <w:r w:rsidRPr="00DB3005">
        <w:rPr>
          <w:spacing w:val="-1"/>
          <w:sz w:val="22"/>
          <w:szCs w:val="22"/>
        </w:rPr>
        <w:t>принадлежи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следния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(и):</w:t>
      </w:r>
    </w:p>
    <w:p w14:paraId="634D54B0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14:paraId="28B6E0D8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Търговска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марка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(и):</w:t>
      </w:r>
    </w:p>
    <w:p w14:paraId="0ADC9072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Таблет</w:t>
      </w:r>
      <w:proofErr w:type="spellEnd"/>
      <w:r w:rsidRPr="00DB3005">
        <w:rPr>
          <w:spacing w:val="-1"/>
          <w:sz w:val="22"/>
          <w:szCs w:val="22"/>
        </w:rPr>
        <w:t xml:space="preserve"> PC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>Blackview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Tab60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>, Tab A6 Kids</w:t>
      </w:r>
    </w:p>
    <w:p w14:paraId="4A9E0DF3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DB3005">
        <w:rPr>
          <w:spacing w:val="-1"/>
          <w:sz w:val="22"/>
          <w:szCs w:val="22"/>
        </w:rPr>
        <w:t>(</w:t>
      </w:r>
      <w:proofErr w:type="spellStart"/>
      <w:r w:rsidRPr="00DB3005">
        <w:rPr>
          <w:spacing w:val="-1"/>
          <w:sz w:val="22"/>
          <w:szCs w:val="22"/>
        </w:rPr>
        <w:t>Име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партиден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сериен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>)</w:t>
      </w:r>
    </w:p>
    <w:p w14:paraId="2C8A0762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14:paraId="464A07DA" w14:textId="77777777"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Системни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компоненти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FPCAntenna</w:t>
      </w:r>
      <w:proofErr w:type="spellEnd"/>
      <w:r w:rsidRPr="00DB3005">
        <w:rPr>
          <w:spacing w:val="-1"/>
          <w:sz w:val="22"/>
          <w:szCs w:val="22"/>
        </w:rPr>
        <w:t xml:space="preserve">: BT/Wi-Fi 2.4G: 1.9dBi;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 xml:space="preserve"> 5G: 1.3dBi;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Адаптер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: HJ-0502000-EU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Вход</w:t>
      </w:r>
      <w:proofErr w:type="spellEnd"/>
      <w:r w:rsidRPr="00DB3005">
        <w:rPr>
          <w:spacing w:val="-1"/>
          <w:sz w:val="22"/>
          <w:szCs w:val="22"/>
        </w:rPr>
        <w:t xml:space="preserve">: 100-240V~50/60Hz 0.3A </w:t>
      </w:r>
      <w:proofErr w:type="spellStart"/>
      <w:r w:rsidRPr="00DB3005">
        <w:rPr>
          <w:spacing w:val="-1"/>
          <w:sz w:val="22"/>
          <w:szCs w:val="22"/>
        </w:rPr>
        <w:t>Изход</w:t>
      </w:r>
      <w:proofErr w:type="spellEnd"/>
      <w:r w:rsidRPr="00DB3005">
        <w:rPr>
          <w:spacing w:val="-1"/>
          <w:sz w:val="22"/>
          <w:szCs w:val="22"/>
        </w:rPr>
        <w:t>: 5.0V 2.0A (10.0W)</w:t>
      </w:r>
      <w:r w:rsidRPr="00DB3005">
        <w:rPr>
          <w:b/>
          <w:bCs/>
          <w:spacing w:val="-1"/>
          <w:sz w:val="22"/>
          <w:szCs w:val="22"/>
        </w:rPr>
        <w:t> </w:t>
      </w:r>
    </w:p>
    <w:p w14:paraId="211C1A74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14:paraId="4E2F88F7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Guangdong </w:t>
      </w:r>
      <w:proofErr w:type="spellStart"/>
      <w:r w:rsidRPr="00DB3005">
        <w:rPr>
          <w:spacing w:val="-1"/>
          <w:sz w:val="22"/>
          <w:szCs w:val="22"/>
        </w:rPr>
        <w:t>Quanzhi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14:paraId="10A647BF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14:paraId="561B1FF6" w14:textId="77777777"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Презареждаема</w:t>
      </w:r>
      <w:proofErr w:type="spellEnd"/>
      <w:r w:rsidRPr="00DB3005">
        <w:rPr>
          <w:spacing w:val="-1"/>
          <w:sz w:val="22"/>
          <w:szCs w:val="22"/>
        </w:rPr>
        <w:t xml:space="preserve"> Li-ion </w:t>
      </w:r>
      <w:proofErr w:type="spellStart"/>
      <w:r w:rsidRPr="00DB3005">
        <w:rPr>
          <w:spacing w:val="-1"/>
          <w:sz w:val="22"/>
          <w:szCs w:val="22"/>
        </w:rPr>
        <w:t>батерия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</w:p>
    <w:p w14:paraId="69A5F555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14:paraId="1EC1BD56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: Li2753130htt; </w:t>
      </w:r>
    </w:p>
    <w:p w14:paraId="09893E99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14:paraId="71332974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Спецификация</w:t>
      </w:r>
      <w:proofErr w:type="spellEnd"/>
      <w:r w:rsidRPr="00DB3005">
        <w:rPr>
          <w:spacing w:val="-1"/>
          <w:sz w:val="22"/>
          <w:szCs w:val="22"/>
        </w:rPr>
        <w:t xml:space="preserve">: DC 3.8V, 5100mAh, 19.38Wh; </w:t>
      </w:r>
    </w:p>
    <w:p w14:paraId="52CA37FB" w14:textId="77777777"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14:paraId="32D2874E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Shenzhen </w:t>
      </w:r>
      <w:proofErr w:type="spellStart"/>
      <w:r w:rsidRPr="00DB3005">
        <w:rPr>
          <w:spacing w:val="-1"/>
          <w:sz w:val="22"/>
          <w:szCs w:val="22"/>
        </w:rPr>
        <w:t>Huatiantong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14:paraId="519D7D1F" w14:textId="77777777"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14:paraId="21D5FA89" w14:textId="77777777"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14:paraId="28F91F4E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14:paraId="7832BC63" w14:textId="77777777" w:rsidR="00461263" w:rsidRPr="00DB3005" w:rsidRDefault="000342C3">
      <w:pPr>
        <w:spacing w:before="81" w:line="3869" w:lineRule="exact"/>
        <w:ind w:firstLine="1325"/>
      </w:pPr>
      <w:r w:rsidRPr="00DB3005">
        <w:rPr>
          <w:noProof/>
          <w:position w:val="-77"/>
        </w:rPr>
        <w:drawing>
          <wp:inline distT="0" distB="0" distL="0" distR="0" wp14:anchorId="0A28850E" wp14:editId="4F85219B">
            <wp:extent cx="3674745" cy="2456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4871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25FD" w14:textId="77777777" w:rsidR="00461263" w:rsidRPr="00DB3005" w:rsidRDefault="00461263">
      <w:pPr>
        <w:spacing w:line="3869" w:lineRule="exact"/>
        <w:sectPr w:rsidR="00461263" w:rsidRPr="00DB3005" w:rsidSect="00DB3005">
          <w:pgSz w:w="11908" w:h="16839"/>
          <w:pgMar w:top="1431" w:right="1695" w:bottom="0" w:left="1786" w:header="0" w:footer="0" w:gutter="0"/>
          <w:cols w:space="720" w:equalWidth="0">
            <w:col w:w="8427"/>
          </w:cols>
        </w:sectPr>
      </w:pPr>
    </w:p>
    <w:p w14:paraId="2F2836D9" w14:textId="77777777" w:rsidR="00461263" w:rsidRPr="00DB3005" w:rsidRDefault="00461263">
      <w:pPr>
        <w:pStyle w:val="BodyText"/>
        <w:spacing w:line="391" w:lineRule="auto"/>
        <w:rPr>
          <w:sz w:val="21"/>
        </w:rPr>
      </w:pPr>
    </w:p>
    <w:p w14:paraId="34CCF7CD" w14:textId="77777777" w:rsidR="00DB3005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Обектът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декларацията</w:t>
      </w:r>
      <w:proofErr w:type="spellEnd"/>
      <w:r w:rsidRPr="00BF27CF">
        <w:rPr>
          <w:spacing w:val="-1"/>
          <w:sz w:val="22"/>
          <w:szCs w:val="22"/>
        </w:rPr>
        <w:t xml:space="preserve">, </w:t>
      </w:r>
      <w:proofErr w:type="spellStart"/>
      <w:r w:rsidRPr="00BF27CF">
        <w:rPr>
          <w:spacing w:val="-1"/>
          <w:sz w:val="22"/>
          <w:szCs w:val="22"/>
        </w:rPr>
        <w:t>описан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по-горе</w:t>
      </w:r>
      <w:proofErr w:type="spellEnd"/>
      <w:r w:rsidRPr="00BF27CF">
        <w:rPr>
          <w:spacing w:val="-1"/>
          <w:sz w:val="22"/>
          <w:szCs w:val="22"/>
        </w:rPr>
        <w:t xml:space="preserve">, е в </w:t>
      </w:r>
      <w:proofErr w:type="spellStart"/>
      <w:r w:rsidRPr="00BF27CF">
        <w:rPr>
          <w:spacing w:val="-1"/>
          <w:sz w:val="22"/>
          <w:szCs w:val="22"/>
        </w:rPr>
        <w:t>съответствие</w:t>
      </w:r>
      <w:proofErr w:type="spellEnd"/>
      <w:r w:rsidRPr="00BF27CF">
        <w:rPr>
          <w:spacing w:val="-1"/>
          <w:sz w:val="22"/>
          <w:szCs w:val="22"/>
        </w:rPr>
        <w:t xml:space="preserve"> с </w:t>
      </w:r>
      <w:proofErr w:type="spellStart"/>
      <w:r w:rsidRPr="00BF27CF">
        <w:rPr>
          <w:spacing w:val="-1"/>
          <w:sz w:val="22"/>
          <w:szCs w:val="22"/>
        </w:rPr>
        <w:t>основните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изисквания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съответното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законодателство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Съюза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хармонизация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Директива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радиооборудване</w:t>
      </w:r>
      <w:proofErr w:type="spellEnd"/>
      <w:r w:rsidRPr="00BF27CF">
        <w:rPr>
          <w:spacing w:val="-1"/>
          <w:sz w:val="22"/>
          <w:szCs w:val="22"/>
        </w:rPr>
        <w:t xml:space="preserve"> RED (2014/53/ЕС). </w:t>
      </w:r>
      <w:proofErr w:type="spellStart"/>
      <w:r w:rsidRPr="00BF27CF">
        <w:rPr>
          <w:spacing w:val="-1"/>
          <w:sz w:val="22"/>
          <w:szCs w:val="22"/>
        </w:rPr>
        <w:t>Следните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хармонизирани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стандарти</w:t>
      </w:r>
      <w:proofErr w:type="spellEnd"/>
      <w:r w:rsidRPr="00BF27CF">
        <w:rPr>
          <w:spacing w:val="-1"/>
          <w:sz w:val="22"/>
          <w:szCs w:val="22"/>
        </w:rPr>
        <w:t xml:space="preserve"> и </w:t>
      </w:r>
      <w:proofErr w:type="spellStart"/>
      <w:r w:rsidRPr="00BF27CF">
        <w:rPr>
          <w:spacing w:val="-1"/>
          <w:sz w:val="22"/>
          <w:szCs w:val="22"/>
        </w:rPr>
        <w:t>технически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спецификации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приложени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</w:p>
    <w:p w14:paraId="364B4C90" w14:textId="77777777"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14:paraId="01C50908" w14:textId="77777777"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14:paraId="7EF82DC7" w14:textId="77777777" w:rsidR="00BF27CF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>ЗДРАВЕ И БЕЗОПАСНОСТ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3(1)(а)):</w:t>
      </w:r>
    </w:p>
    <w:p w14:paraId="12011C24" w14:textId="77777777" w:rsidR="00BF27CF" w:rsidRDefault="00BF27CF">
      <w:pPr>
        <w:pStyle w:val="BodyText"/>
        <w:spacing w:before="9" w:line="210" w:lineRule="auto"/>
        <w:ind w:left="37"/>
        <w:rPr>
          <w:spacing w:val="-2"/>
        </w:rPr>
      </w:pPr>
    </w:p>
    <w:p w14:paraId="4FA14A66" w14:textId="77777777" w:rsidR="00461263" w:rsidRPr="00BF27CF" w:rsidRDefault="000342C3">
      <w:pPr>
        <w:pStyle w:val="BodyText"/>
        <w:spacing w:before="9" w:line="210" w:lineRule="auto"/>
        <w:ind w:left="37"/>
      </w:pPr>
      <w:r w:rsidRPr="00BF27CF">
        <w:rPr>
          <w:spacing w:val="-2"/>
        </w:rPr>
        <w:t>EN 50566:2017;</w:t>
      </w:r>
    </w:p>
    <w:p w14:paraId="79B0032B" w14:textId="77777777" w:rsidR="00461263" w:rsidRPr="00BF27CF" w:rsidRDefault="000342C3">
      <w:pPr>
        <w:pStyle w:val="BodyText"/>
        <w:spacing w:before="150" w:line="376" w:lineRule="auto"/>
        <w:ind w:left="37" w:right="7105"/>
      </w:pPr>
      <w:r w:rsidRPr="00BF27CF">
        <w:rPr>
          <w:spacing w:val="-2"/>
        </w:rPr>
        <w:t>EN 62209-2:2010;</w:t>
      </w:r>
      <w:r w:rsidRPr="00BF27CF">
        <w:rPr>
          <w:spacing w:val="5"/>
        </w:rPr>
        <w:t xml:space="preserve"> </w:t>
      </w:r>
      <w:r w:rsidRPr="00BF27CF">
        <w:rPr>
          <w:spacing w:val="-2"/>
        </w:rPr>
        <w:t>EN 62479:2010</w:t>
      </w:r>
    </w:p>
    <w:p w14:paraId="707679D6" w14:textId="77777777" w:rsidR="00461263" w:rsidRDefault="000342C3">
      <w:pPr>
        <w:pStyle w:val="BodyText"/>
        <w:spacing w:before="77" w:line="196" w:lineRule="auto"/>
        <w:ind w:left="37"/>
        <w:rPr>
          <w:spacing w:val="-3"/>
        </w:rPr>
      </w:pPr>
      <w:proofErr w:type="gramStart"/>
      <w:r w:rsidRPr="00BF27CF">
        <w:rPr>
          <w:spacing w:val="-3"/>
        </w:rPr>
        <w:t>EN  IEC</w:t>
      </w:r>
      <w:proofErr w:type="gramEnd"/>
      <w:r w:rsidRPr="00BF27CF">
        <w:rPr>
          <w:spacing w:val="-3"/>
        </w:rPr>
        <w:t xml:space="preserve"> 62368-1:2020+A11:2020</w:t>
      </w:r>
    </w:p>
    <w:p w14:paraId="0C2CF245" w14:textId="77777777" w:rsidR="00BF27CF" w:rsidRPr="00BF27CF" w:rsidRDefault="00BF27CF">
      <w:pPr>
        <w:pStyle w:val="BodyText"/>
        <w:spacing w:before="77" w:line="196" w:lineRule="auto"/>
        <w:ind w:left="37"/>
      </w:pPr>
    </w:p>
    <w:p w14:paraId="3356E75B" w14:textId="77777777" w:rsidR="00DB3005" w:rsidRPr="00BF27CF" w:rsidRDefault="00DB3005" w:rsidP="00BF27CF">
      <w:pPr>
        <w:pStyle w:val="BodyText"/>
        <w:spacing w:before="9" w:line="210" w:lineRule="auto"/>
        <w:ind w:left="37"/>
        <w:rPr>
          <w:b/>
          <w:bCs/>
          <w:spacing w:val="-2"/>
        </w:rPr>
      </w:pPr>
      <w:r w:rsidRPr="00BF27CF">
        <w:rPr>
          <w:spacing w:val="-1"/>
          <w:sz w:val="22"/>
          <w:szCs w:val="22"/>
        </w:rPr>
        <w:t>ЕМС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3(1)(б)):</w:t>
      </w:r>
    </w:p>
    <w:p w14:paraId="27F660EE" w14:textId="77777777" w:rsidR="00461263" w:rsidRPr="00BF27CF" w:rsidRDefault="000342C3">
      <w:pPr>
        <w:pStyle w:val="BodyText"/>
        <w:spacing w:before="164" w:line="416" w:lineRule="auto"/>
        <w:ind w:left="37" w:right="5769"/>
      </w:pPr>
      <w:proofErr w:type="gramStart"/>
      <w:r w:rsidRPr="00BF27CF">
        <w:rPr>
          <w:spacing w:val="-3"/>
        </w:rPr>
        <w:t>ETSI  EN</w:t>
      </w:r>
      <w:proofErr w:type="gramEnd"/>
      <w:r w:rsidRPr="00BF27CF">
        <w:rPr>
          <w:spacing w:val="-3"/>
        </w:rPr>
        <w:t xml:space="preserve"> 301 489-1 V2.2.3</w:t>
      </w:r>
      <w:r w:rsidRPr="00BF27CF">
        <w:rPr>
          <w:spacing w:val="24"/>
          <w:w w:val="102"/>
        </w:rPr>
        <w:t xml:space="preserve"> </w:t>
      </w:r>
      <w:r w:rsidRPr="00BF27CF">
        <w:rPr>
          <w:spacing w:val="-3"/>
        </w:rPr>
        <w:t>(2019-11)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25"/>
        </w:rPr>
        <w:t xml:space="preserve"> </w:t>
      </w:r>
      <w:r w:rsidRPr="00BF27CF">
        <w:rPr>
          <w:spacing w:val="-2"/>
        </w:rPr>
        <w:t>EN 301 489-3 V2.1.1</w:t>
      </w:r>
      <w:r w:rsidRPr="00BF27CF">
        <w:rPr>
          <w:spacing w:val="17"/>
          <w:w w:val="101"/>
        </w:rPr>
        <w:t xml:space="preserve"> </w:t>
      </w:r>
      <w:r w:rsidRPr="00BF27CF">
        <w:rPr>
          <w:spacing w:val="-2"/>
        </w:rPr>
        <w:t>(2019-0</w:t>
      </w:r>
      <w:r w:rsidRPr="00BF27CF">
        <w:rPr>
          <w:spacing w:val="-3"/>
        </w:rPr>
        <w:t>3)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43"/>
          <w:w w:val="102"/>
        </w:rPr>
        <w:t xml:space="preserve"> </w:t>
      </w:r>
      <w:r w:rsidRPr="00BF27CF">
        <w:rPr>
          <w:spacing w:val="-2"/>
        </w:rPr>
        <w:t>EN 301 489-17 V3.2.4 (2020-09)</w:t>
      </w:r>
    </w:p>
    <w:p w14:paraId="31F16041" w14:textId="77777777" w:rsidR="00461263" w:rsidRPr="00BF27CF" w:rsidRDefault="000342C3">
      <w:pPr>
        <w:pStyle w:val="BodyText"/>
        <w:spacing w:before="44" w:line="432" w:lineRule="auto"/>
        <w:ind w:left="37" w:right="6558"/>
      </w:pPr>
      <w:r w:rsidRPr="00BF27CF">
        <w:rPr>
          <w:spacing w:val="-2"/>
        </w:rPr>
        <w:t>EN 55032:2015+A1:2020</w:t>
      </w:r>
      <w:r w:rsidRPr="00BF27CF">
        <w:rPr>
          <w:spacing w:val="3"/>
        </w:rPr>
        <w:t xml:space="preserve">   </w:t>
      </w:r>
      <w:r w:rsidRPr="00BF27CF">
        <w:rPr>
          <w:spacing w:val="-2"/>
        </w:rPr>
        <w:t>EN 55035:2017+A11:2020</w:t>
      </w:r>
    </w:p>
    <w:p w14:paraId="140676A2" w14:textId="77777777" w:rsidR="00461263" w:rsidRPr="00BF27CF" w:rsidRDefault="000342C3">
      <w:pPr>
        <w:pStyle w:val="BodyText"/>
        <w:spacing w:before="1" w:line="435" w:lineRule="auto"/>
        <w:ind w:left="37" w:right="6072"/>
      </w:pPr>
      <w:r w:rsidRPr="00BF27CF">
        <w:rPr>
          <w:spacing w:val="-2"/>
        </w:rPr>
        <w:t>EN</w:t>
      </w:r>
      <w:r w:rsidRPr="00BF27CF">
        <w:rPr>
          <w:spacing w:val="32"/>
        </w:rPr>
        <w:t xml:space="preserve"> </w:t>
      </w:r>
      <w:r w:rsidRPr="00BF27CF">
        <w:rPr>
          <w:spacing w:val="-2"/>
        </w:rPr>
        <w:t>IEC 61000-3-2:2019+A1:2021</w:t>
      </w:r>
      <w:r w:rsidRPr="00BF27CF">
        <w:t xml:space="preserve"> </w:t>
      </w:r>
      <w:r w:rsidRPr="00BF27CF">
        <w:rPr>
          <w:spacing w:val="-2"/>
        </w:rPr>
        <w:t>EN 61000-3-3:2013+A2:2021</w:t>
      </w:r>
    </w:p>
    <w:p w14:paraId="5701D03C" w14:textId="77777777" w:rsidR="00DB3005" w:rsidRPr="00BF27CF" w:rsidRDefault="00DB3005" w:rsidP="00BF27CF">
      <w:pPr>
        <w:pStyle w:val="BodyText"/>
        <w:spacing w:before="77" w:line="196" w:lineRule="auto"/>
        <w:ind w:left="37"/>
        <w:rPr>
          <w:sz w:val="24"/>
          <w:szCs w:val="24"/>
        </w:rPr>
      </w:pPr>
      <w:proofErr w:type="spellStart"/>
      <w:r w:rsidRPr="00BF27CF">
        <w:rPr>
          <w:sz w:val="24"/>
          <w:szCs w:val="24"/>
        </w:rPr>
        <w:t>Радиочестотен</w:t>
      </w:r>
      <w:proofErr w:type="spellEnd"/>
      <w:r w:rsidRPr="00BF27CF">
        <w:rPr>
          <w:sz w:val="24"/>
          <w:szCs w:val="24"/>
        </w:rPr>
        <w:t xml:space="preserve"> </w:t>
      </w:r>
      <w:proofErr w:type="spellStart"/>
      <w:r w:rsidRPr="00BF27CF">
        <w:rPr>
          <w:sz w:val="24"/>
          <w:szCs w:val="24"/>
        </w:rPr>
        <w:t>спектър</w:t>
      </w:r>
      <w:proofErr w:type="spellEnd"/>
      <w:r w:rsidRPr="00BF27CF">
        <w:rPr>
          <w:sz w:val="24"/>
          <w:szCs w:val="24"/>
        </w:rPr>
        <w:t xml:space="preserve"> (</w:t>
      </w:r>
      <w:proofErr w:type="spellStart"/>
      <w:r w:rsidRPr="00BF27CF">
        <w:rPr>
          <w:sz w:val="24"/>
          <w:szCs w:val="24"/>
        </w:rPr>
        <w:t>чл</w:t>
      </w:r>
      <w:proofErr w:type="spellEnd"/>
      <w:r w:rsidRPr="00BF27CF">
        <w:rPr>
          <w:sz w:val="24"/>
          <w:szCs w:val="24"/>
        </w:rPr>
        <w:t>. 3.2):</w:t>
      </w:r>
    </w:p>
    <w:p w14:paraId="7B9E6E27" w14:textId="77777777" w:rsidR="00461263" w:rsidRPr="00BF27CF" w:rsidRDefault="000342C3">
      <w:pPr>
        <w:pStyle w:val="BodyText"/>
        <w:spacing w:before="172" w:line="418" w:lineRule="auto"/>
        <w:ind w:left="37" w:right="6318"/>
        <w:jc w:val="both"/>
        <w:rPr>
          <w:spacing w:val="-2"/>
        </w:rPr>
      </w:pPr>
      <w:r w:rsidRPr="00BF27CF">
        <w:rPr>
          <w:spacing w:val="-2"/>
        </w:rPr>
        <w:t>EN 300 328 V2.2.2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(2019-07);</w:t>
      </w:r>
      <w:r w:rsidRPr="00BF27CF">
        <w:t xml:space="preserve"> </w:t>
      </w:r>
      <w:r w:rsidRPr="00BF27CF">
        <w:rPr>
          <w:spacing w:val="-2"/>
        </w:rPr>
        <w:t>EN 301 893 V2.1.1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(2017-05);</w:t>
      </w:r>
      <w:r w:rsidRPr="00BF27CF">
        <w:t xml:space="preserve"> </w:t>
      </w:r>
      <w:r w:rsidRPr="00BF27CF">
        <w:rPr>
          <w:spacing w:val="-2"/>
        </w:rPr>
        <w:t>EN 300 330 V2.1.1</w:t>
      </w:r>
      <w:r w:rsidRPr="00BF27CF">
        <w:rPr>
          <w:spacing w:val="29"/>
          <w:w w:val="101"/>
        </w:rPr>
        <w:t xml:space="preserve"> </w:t>
      </w:r>
      <w:r w:rsidRPr="00BF27CF">
        <w:rPr>
          <w:spacing w:val="-2"/>
        </w:rPr>
        <w:t>(2017-02</w:t>
      </w:r>
      <w:proofErr w:type="gramStart"/>
      <w:r w:rsidRPr="00BF27CF">
        <w:rPr>
          <w:spacing w:val="-2"/>
        </w:rPr>
        <w:t>)</w:t>
      </w:r>
      <w:r w:rsidRPr="00BF27CF">
        <w:t xml:space="preserve">  </w:t>
      </w:r>
      <w:r w:rsidRPr="00BF27CF">
        <w:rPr>
          <w:spacing w:val="-2"/>
        </w:rPr>
        <w:t>EN</w:t>
      </w:r>
      <w:proofErr w:type="gramEnd"/>
      <w:r w:rsidRPr="00BF27CF">
        <w:rPr>
          <w:spacing w:val="-2"/>
        </w:rPr>
        <w:t xml:space="preserve"> 300 440 V2.2.1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(2018-07);</w:t>
      </w:r>
    </w:p>
    <w:p w14:paraId="07F4BEA4" w14:textId="77777777"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3.3(г) </w:t>
      </w:r>
      <w:proofErr w:type="spellStart"/>
      <w:r w:rsidRPr="00BF27CF">
        <w:rPr>
          <w:spacing w:val="-1"/>
          <w:sz w:val="22"/>
          <w:szCs w:val="22"/>
        </w:rPr>
        <w:t>Спешни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услуги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Делегиран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регламент</w:t>
      </w:r>
      <w:proofErr w:type="spellEnd"/>
      <w:r w:rsidRPr="00BF27CF">
        <w:rPr>
          <w:spacing w:val="-1"/>
          <w:sz w:val="22"/>
          <w:szCs w:val="22"/>
        </w:rPr>
        <w:t xml:space="preserve"> (ЕС) 2019/320</w:t>
      </w:r>
    </w:p>
    <w:p w14:paraId="53423F6B" w14:textId="77777777"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14:paraId="2F87BB4C" w14:textId="77777777"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Име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Eurofins Electrical and Electronic Testing NA, Inc.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0980 </w:t>
      </w:r>
      <w:proofErr w:type="spellStart"/>
      <w:r w:rsidRPr="00BF27CF">
        <w:rPr>
          <w:spacing w:val="-1"/>
          <w:sz w:val="22"/>
          <w:szCs w:val="22"/>
        </w:rPr>
        <w:t>Извършена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оценка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Модул</w:t>
      </w:r>
      <w:proofErr w:type="spellEnd"/>
      <w:r w:rsidRPr="00BF27CF">
        <w:rPr>
          <w:spacing w:val="-1"/>
          <w:sz w:val="22"/>
          <w:szCs w:val="22"/>
        </w:rPr>
        <w:t xml:space="preserve"> B/C </w:t>
      </w:r>
      <w:proofErr w:type="spellStart"/>
      <w:r w:rsidRPr="00BF27CF">
        <w:rPr>
          <w:spacing w:val="-1"/>
          <w:sz w:val="22"/>
          <w:szCs w:val="22"/>
        </w:rPr>
        <w:t>по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член</w:t>
      </w:r>
      <w:proofErr w:type="spellEnd"/>
      <w:r w:rsidRPr="00BF27CF">
        <w:rPr>
          <w:spacing w:val="-1"/>
          <w:sz w:val="22"/>
          <w:szCs w:val="22"/>
        </w:rPr>
        <w:t xml:space="preserve"> 3.1а, 3.1б, 3.2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сертификат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изпитване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типа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ЕС: 3262-07-2024-240512</w:t>
      </w:r>
    </w:p>
    <w:p w14:paraId="05291AC5" w14:textId="77777777"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14:paraId="14F4A7F9" w14:textId="77777777" w:rsidR="00DB3005" w:rsidRDefault="00DB3005" w:rsidP="00DB3005">
      <w:pPr>
        <w:pStyle w:val="BodyText"/>
        <w:spacing w:before="104" w:line="199" w:lineRule="auto"/>
        <w:ind w:left="221"/>
        <w:rPr>
          <w:color w:val="201F1F"/>
          <w:spacing w:val="-2"/>
          <w:sz w:val="18"/>
          <w:szCs w:val="18"/>
        </w:rPr>
      </w:pPr>
    </w:p>
    <w:p w14:paraId="08DCBBF9" w14:textId="77777777" w:rsidR="00461263" w:rsidRPr="00BF27CF" w:rsidRDefault="000342C3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 xml:space="preserve">RF </w:t>
      </w:r>
      <w:r w:rsidR="00DB3005" w:rsidRPr="00BF27CF">
        <w:rPr>
          <w:spacing w:val="-1"/>
          <w:sz w:val="22"/>
          <w:szCs w:val="22"/>
        </w:rPr>
        <w:t>Спецификация</w:t>
      </w:r>
      <w:r w:rsidRPr="00BF27CF">
        <w:rPr>
          <w:spacing w:val="-1"/>
          <w:sz w:val="22"/>
          <w:szCs w:val="22"/>
        </w:rPr>
        <w:t>:</w:t>
      </w:r>
    </w:p>
    <w:p w14:paraId="172401FF" w14:textId="77777777" w:rsidR="00461263" w:rsidRPr="00DB3005" w:rsidRDefault="00461263">
      <w:pPr>
        <w:spacing w:line="43" w:lineRule="exact"/>
      </w:pPr>
    </w:p>
    <w:tbl>
      <w:tblPr>
        <w:tblStyle w:val="TableNormal1"/>
        <w:tblW w:w="7425" w:type="dxa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99"/>
        <w:gridCol w:w="1854"/>
      </w:tblGrid>
      <w:tr w:rsidR="00461263" w:rsidRPr="00DB3005" w14:paraId="6D14E5FC" w14:textId="77777777">
        <w:trPr>
          <w:trHeight w:val="635"/>
        </w:trPr>
        <w:tc>
          <w:tcPr>
            <w:tcW w:w="1972" w:type="dxa"/>
          </w:tcPr>
          <w:p w14:paraId="5B6D5280" w14:textId="77777777" w:rsidR="00461263" w:rsidRPr="00DB3005" w:rsidRDefault="00DB3005">
            <w:pPr>
              <w:pStyle w:val="TableText"/>
              <w:spacing w:before="258" w:line="194" w:lineRule="auto"/>
              <w:ind w:left="627"/>
              <w:rPr>
                <w:lang w:val="bg-BG"/>
              </w:rPr>
            </w:pPr>
            <w:r>
              <w:rPr>
                <w:b/>
                <w:bCs/>
                <w:spacing w:val="-4"/>
                <w:lang w:val="bg-BG"/>
              </w:rPr>
              <w:t>Функция</w:t>
            </w:r>
          </w:p>
        </w:tc>
        <w:tc>
          <w:tcPr>
            <w:tcW w:w="3599" w:type="dxa"/>
          </w:tcPr>
          <w:p w14:paraId="0C02E18E" w14:textId="77777777" w:rsidR="00461263" w:rsidRPr="00DB3005" w:rsidRDefault="00DB3005">
            <w:pPr>
              <w:pStyle w:val="TableText"/>
              <w:spacing w:before="255" w:line="196" w:lineRule="auto"/>
              <w:ind w:left="906"/>
              <w:rPr>
                <w:lang w:val="bg-BG"/>
              </w:rPr>
            </w:pPr>
            <w:r>
              <w:rPr>
                <w:b/>
                <w:bCs/>
                <w:spacing w:val="-3"/>
                <w:lang w:val="bg-BG"/>
              </w:rPr>
              <w:t>Честотна работа</w:t>
            </w:r>
          </w:p>
        </w:tc>
        <w:tc>
          <w:tcPr>
            <w:tcW w:w="1854" w:type="dxa"/>
          </w:tcPr>
          <w:p w14:paraId="6593AB06" w14:textId="77777777" w:rsidR="00461263" w:rsidRPr="00DB3005" w:rsidRDefault="00DB3005">
            <w:pPr>
              <w:pStyle w:val="TableText"/>
              <w:spacing w:before="142" w:line="199" w:lineRule="auto"/>
              <w:ind w:left="362"/>
            </w:pPr>
            <w:r w:rsidRPr="00DB3005">
              <w:rPr>
                <w:b/>
                <w:bCs/>
                <w:spacing w:val="-6"/>
              </w:rPr>
              <w:t xml:space="preserve">RF </w:t>
            </w:r>
            <w:proofErr w:type="spellStart"/>
            <w:r w:rsidRPr="00DB3005">
              <w:rPr>
                <w:b/>
                <w:bCs/>
                <w:spacing w:val="-6"/>
              </w:rPr>
              <w:t>изходна</w:t>
            </w:r>
            <w:proofErr w:type="spellEnd"/>
            <w:r w:rsidRPr="00DB300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DB3005">
              <w:rPr>
                <w:b/>
                <w:bCs/>
                <w:spacing w:val="-6"/>
              </w:rPr>
              <w:t>мощност</w:t>
            </w:r>
            <w:proofErr w:type="spellEnd"/>
            <w:r w:rsidRPr="00DB3005">
              <w:rPr>
                <w:b/>
                <w:bCs/>
                <w:spacing w:val="-6"/>
              </w:rPr>
              <w:t>:</w:t>
            </w:r>
          </w:p>
        </w:tc>
      </w:tr>
      <w:tr w:rsidR="00461263" w:rsidRPr="00DB3005" w14:paraId="45EE0C23" w14:textId="77777777">
        <w:trPr>
          <w:trHeight w:val="317"/>
        </w:trPr>
        <w:tc>
          <w:tcPr>
            <w:tcW w:w="1972" w:type="dxa"/>
          </w:tcPr>
          <w:p w14:paraId="55C7E876" w14:textId="77777777" w:rsidR="00461263" w:rsidRPr="00DB3005" w:rsidRDefault="000342C3">
            <w:pPr>
              <w:pStyle w:val="TableText"/>
              <w:spacing w:before="94" w:line="194" w:lineRule="auto"/>
              <w:ind w:left="837"/>
            </w:pPr>
            <w:r w:rsidRPr="00DB3005">
              <w:rPr>
                <w:spacing w:val="-7"/>
              </w:rPr>
              <w:t>BLE</w:t>
            </w:r>
          </w:p>
        </w:tc>
        <w:tc>
          <w:tcPr>
            <w:tcW w:w="3599" w:type="dxa"/>
          </w:tcPr>
          <w:p w14:paraId="712DD0B4" w14:textId="77777777" w:rsidR="00461263" w:rsidRPr="00DB3005" w:rsidRDefault="000342C3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14:paraId="05AC816E" w14:textId="77777777" w:rsidR="00461263" w:rsidRPr="00DB3005" w:rsidRDefault="000342C3">
            <w:pPr>
              <w:pStyle w:val="TableText"/>
              <w:spacing w:before="72" w:line="216" w:lineRule="auto"/>
              <w:ind w:left="64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 w14:paraId="2A2A28A9" w14:textId="77777777">
        <w:trPr>
          <w:trHeight w:val="317"/>
        </w:trPr>
        <w:tc>
          <w:tcPr>
            <w:tcW w:w="1972" w:type="dxa"/>
          </w:tcPr>
          <w:p w14:paraId="585476E0" w14:textId="77777777" w:rsidR="00461263" w:rsidRPr="00DB3005" w:rsidRDefault="000342C3">
            <w:pPr>
              <w:pStyle w:val="TableText"/>
              <w:spacing w:before="94" w:line="196" w:lineRule="auto"/>
              <w:ind w:left="464"/>
            </w:pPr>
            <w:r w:rsidRPr="00DB3005">
              <w:rPr>
                <w:spacing w:val="-3"/>
              </w:rPr>
              <w:t>BT(BR+EDR)</w:t>
            </w:r>
          </w:p>
        </w:tc>
        <w:tc>
          <w:tcPr>
            <w:tcW w:w="3599" w:type="dxa"/>
          </w:tcPr>
          <w:p w14:paraId="3B615940" w14:textId="77777777" w:rsidR="00461263" w:rsidRPr="00DB3005" w:rsidRDefault="000342C3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14:paraId="20A9B8FB" w14:textId="77777777" w:rsidR="00461263" w:rsidRPr="00DB3005" w:rsidRDefault="000342C3">
            <w:pPr>
              <w:pStyle w:val="TableText"/>
              <w:spacing w:before="72" w:line="216" w:lineRule="auto"/>
              <w:ind w:left="590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 w14:paraId="681DB576" w14:textId="77777777">
        <w:trPr>
          <w:trHeight w:val="656"/>
        </w:trPr>
        <w:tc>
          <w:tcPr>
            <w:tcW w:w="1972" w:type="dxa"/>
          </w:tcPr>
          <w:p w14:paraId="2E66AD11" w14:textId="77777777" w:rsidR="00461263" w:rsidRPr="00DB3005" w:rsidRDefault="000342C3">
            <w:pPr>
              <w:pStyle w:val="TableText"/>
              <w:spacing w:before="92" w:line="196" w:lineRule="auto"/>
              <w:ind w:left="352"/>
            </w:pPr>
            <w:r w:rsidRPr="00DB3005">
              <w:rPr>
                <w:spacing w:val="-2"/>
              </w:rPr>
              <w:t>WIFI 802.11b/g/</w:t>
            </w:r>
          </w:p>
          <w:p w14:paraId="340A3E91" w14:textId="77777777" w:rsidR="00461263" w:rsidRPr="00DB3005" w:rsidRDefault="000342C3">
            <w:pPr>
              <w:pStyle w:val="TableText"/>
              <w:spacing w:before="141" w:line="196" w:lineRule="auto"/>
              <w:ind w:left="549"/>
            </w:pPr>
            <w:r w:rsidRPr="00DB3005">
              <w:rPr>
                <w:spacing w:val="-3"/>
              </w:rPr>
              <w:t>n(HT20/40)</w:t>
            </w:r>
          </w:p>
        </w:tc>
        <w:tc>
          <w:tcPr>
            <w:tcW w:w="3599" w:type="dxa"/>
          </w:tcPr>
          <w:p w14:paraId="080F0EE8" w14:textId="77777777" w:rsidR="00461263" w:rsidRPr="00DB3005" w:rsidRDefault="000342C3">
            <w:pPr>
              <w:pStyle w:val="TableText"/>
              <w:spacing w:before="121" w:line="304" w:lineRule="auto"/>
              <w:ind w:left="227" w:right="275" w:hanging="123"/>
            </w:pPr>
            <w:r w:rsidRPr="00DB3005">
              <w:rPr>
                <w:spacing w:val="-1"/>
              </w:rPr>
              <w:t>802.11b/g/n/ax(20MHz):2412</w:t>
            </w:r>
            <w:r w:rsidRPr="00DB3005">
              <w:rPr>
                <w:spacing w:val="-2"/>
              </w:rPr>
              <w:t>~2472MHz;</w:t>
            </w:r>
            <w:r w:rsidRPr="00DB3005">
              <w:t xml:space="preserve"> </w:t>
            </w:r>
            <w:r w:rsidRPr="00DB3005">
              <w:rPr>
                <w:spacing w:val="-1"/>
              </w:rPr>
              <w:t>802.11n/ax(40MHz):2422</w:t>
            </w:r>
            <w:r w:rsidRPr="00DB3005">
              <w:rPr>
                <w:spacing w:val="-2"/>
              </w:rPr>
              <w:t>~2462MHz</w:t>
            </w:r>
          </w:p>
        </w:tc>
        <w:tc>
          <w:tcPr>
            <w:tcW w:w="1854" w:type="dxa"/>
          </w:tcPr>
          <w:p w14:paraId="44BB7FAC" w14:textId="77777777" w:rsidR="00461263" w:rsidRPr="00DB3005" w:rsidRDefault="000342C3">
            <w:pPr>
              <w:pStyle w:val="TableText"/>
              <w:spacing w:before="227" w:line="237" w:lineRule="auto"/>
              <w:ind w:left="549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 w14:paraId="249A3841" w14:textId="77777777">
        <w:trPr>
          <w:trHeight w:val="939"/>
        </w:trPr>
        <w:tc>
          <w:tcPr>
            <w:tcW w:w="1972" w:type="dxa"/>
          </w:tcPr>
          <w:p w14:paraId="56C750C0" w14:textId="77777777" w:rsidR="00461263" w:rsidRPr="00DB3005" w:rsidRDefault="000342C3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14:paraId="3771AA45" w14:textId="77777777" w:rsidR="00461263" w:rsidRPr="00DB3005" w:rsidRDefault="000342C3">
            <w:pPr>
              <w:pStyle w:val="TableText"/>
              <w:spacing w:before="141" w:line="196" w:lineRule="auto"/>
              <w:ind w:left="152"/>
            </w:pPr>
            <w:r w:rsidRPr="00DB3005">
              <w:rPr>
                <w:spacing w:val="-3"/>
              </w:rPr>
              <w:t>5.2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14:paraId="1E9DEEB6" w14:textId="77777777" w:rsidR="00461263" w:rsidRPr="00DB3005" w:rsidRDefault="000342C3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14:paraId="2BDB8732" w14:textId="77777777" w:rsidR="00461263" w:rsidRPr="00DB3005" w:rsidRDefault="000342C3">
            <w:pPr>
              <w:pStyle w:val="TableText"/>
              <w:spacing w:before="95" w:line="196" w:lineRule="auto"/>
              <w:ind w:left="99"/>
            </w:pPr>
            <w:r w:rsidRPr="00DB3005">
              <w:rPr>
                <w:spacing w:val="-1"/>
              </w:rPr>
              <w:t>802.11a/n/ac/ax(20M):5180MHz</w:t>
            </w:r>
            <w:r w:rsidRPr="00DB3005">
              <w:rPr>
                <w:spacing w:val="-2"/>
              </w:rPr>
              <w:t>~5240MHz</w:t>
            </w:r>
          </w:p>
          <w:p w14:paraId="1FDE6328" w14:textId="77777777" w:rsidR="00461263" w:rsidRPr="00DB3005" w:rsidRDefault="000342C3">
            <w:pPr>
              <w:pStyle w:val="TableText"/>
              <w:spacing w:before="144" w:line="196" w:lineRule="auto"/>
              <w:ind w:left="171"/>
            </w:pPr>
            <w:r w:rsidRPr="00DB3005">
              <w:rPr>
                <w:spacing w:val="-1"/>
              </w:rPr>
              <w:t>802.11n/ac/ax(40M):5190MHz~</w:t>
            </w:r>
            <w:r w:rsidRPr="00DB3005">
              <w:rPr>
                <w:spacing w:val="-2"/>
              </w:rPr>
              <w:t>5230MHz</w:t>
            </w:r>
          </w:p>
          <w:p w14:paraId="318EAEC7" w14:textId="77777777" w:rsidR="00461263" w:rsidRPr="00DB3005" w:rsidRDefault="000342C3">
            <w:pPr>
              <w:pStyle w:val="TableText"/>
              <w:spacing w:before="141" w:line="196" w:lineRule="auto"/>
              <w:ind w:left="559"/>
            </w:pPr>
            <w:r w:rsidRPr="00DB3005">
              <w:rPr>
                <w:spacing w:val="-2"/>
              </w:rPr>
              <w:t>802.11 ac/ax(80MHz):521</w:t>
            </w:r>
            <w:r w:rsidRPr="00DB3005">
              <w:rPr>
                <w:spacing w:val="-3"/>
              </w:rPr>
              <w:t>0MHz</w:t>
            </w:r>
          </w:p>
        </w:tc>
        <w:tc>
          <w:tcPr>
            <w:tcW w:w="1854" w:type="dxa"/>
          </w:tcPr>
          <w:p w14:paraId="49D3D971" w14:textId="77777777" w:rsidR="00461263" w:rsidRPr="00DB3005" w:rsidRDefault="00461263">
            <w:pPr>
              <w:pStyle w:val="TableText"/>
              <w:spacing w:line="327" w:lineRule="auto"/>
              <w:rPr>
                <w:sz w:val="21"/>
              </w:rPr>
            </w:pPr>
          </w:p>
          <w:p w14:paraId="5F499306" w14:textId="77777777" w:rsidR="00461263" w:rsidRPr="00DB3005" w:rsidRDefault="000342C3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 w14:paraId="59FF0F76" w14:textId="77777777">
        <w:trPr>
          <w:trHeight w:val="942"/>
        </w:trPr>
        <w:tc>
          <w:tcPr>
            <w:tcW w:w="1972" w:type="dxa"/>
          </w:tcPr>
          <w:p w14:paraId="4B6CDEBE" w14:textId="77777777" w:rsidR="00461263" w:rsidRPr="00DB3005" w:rsidRDefault="000342C3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14:paraId="2AAA03A7" w14:textId="77777777" w:rsidR="00461263" w:rsidRPr="00DB3005" w:rsidRDefault="000342C3">
            <w:pPr>
              <w:pStyle w:val="TableText"/>
              <w:spacing w:before="142" w:line="196" w:lineRule="auto"/>
              <w:ind w:left="152"/>
            </w:pPr>
            <w:r w:rsidRPr="00DB3005">
              <w:rPr>
                <w:spacing w:val="-3"/>
              </w:rPr>
              <w:t>5.8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14:paraId="575AF555" w14:textId="77777777" w:rsidR="00461263" w:rsidRPr="00DB3005" w:rsidRDefault="000342C3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14:paraId="5782ABA6" w14:textId="77777777" w:rsidR="00461263" w:rsidRPr="00DB3005" w:rsidRDefault="000342C3">
            <w:pPr>
              <w:pStyle w:val="TableText"/>
              <w:spacing w:before="96" w:line="196" w:lineRule="auto"/>
              <w:ind w:left="99"/>
            </w:pPr>
            <w:r w:rsidRPr="00DB3005">
              <w:rPr>
                <w:spacing w:val="-1"/>
              </w:rPr>
              <w:t>802.11a/n/ac/ax(20M):5745MHz</w:t>
            </w:r>
            <w:r w:rsidRPr="00DB3005">
              <w:rPr>
                <w:spacing w:val="-2"/>
              </w:rPr>
              <w:t>~5825MHz</w:t>
            </w:r>
          </w:p>
          <w:p w14:paraId="4AFFDD1D" w14:textId="77777777" w:rsidR="00461263" w:rsidRPr="00DB3005" w:rsidRDefault="000342C3">
            <w:pPr>
              <w:pStyle w:val="TableText"/>
              <w:spacing w:before="141" w:line="196" w:lineRule="auto"/>
              <w:ind w:left="171"/>
            </w:pPr>
            <w:r w:rsidRPr="00DB3005">
              <w:rPr>
                <w:spacing w:val="-1"/>
              </w:rPr>
              <w:t>802.11n/ac/ax(40M):5755MHz~</w:t>
            </w:r>
            <w:r w:rsidRPr="00DB3005">
              <w:rPr>
                <w:spacing w:val="-2"/>
              </w:rPr>
              <w:t>5795MHz</w:t>
            </w:r>
          </w:p>
          <w:p w14:paraId="54D28B42" w14:textId="77777777" w:rsidR="00461263" w:rsidRPr="00DB3005" w:rsidRDefault="000342C3">
            <w:pPr>
              <w:pStyle w:val="TableText"/>
              <w:spacing w:before="142" w:line="196" w:lineRule="auto"/>
              <w:ind w:left="583"/>
            </w:pPr>
            <w:r w:rsidRPr="00DB3005">
              <w:rPr>
                <w:spacing w:val="-2"/>
              </w:rPr>
              <w:t>802.11ac/ax(80MHz):57</w:t>
            </w:r>
            <w:r w:rsidRPr="00DB3005">
              <w:rPr>
                <w:spacing w:val="-3"/>
              </w:rPr>
              <w:t>75MHz</w:t>
            </w:r>
          </w:p>
        </w:tc>
        <w:tc>
          <w:tcPr>
            <w:tcW w:w="1854" w:type="dxa"/>
          </w:tcPr>
          <w:p w14:paraId="2C354822" w14:textId="77777777" w:rsidR="00461263" w:rsidRPr="00DB3005" w:rsidRDefault="00461263">
            <w:pPr>
              <w:pStyle w:val="TableText"/>
              <w:spacing w:line="328" w:lineRule="auto"/>
              <w:rPr>
                <w:sz w:val="21"/>
              </w:rPr>
            </w:pPr>
          </w:p>
          <w:p w14:paraId="131CFC13" w14:textId="77777777" w:rsidR="00461263" w:rsidRPr="00DB3005" w:rsidRDefault="000342C3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5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5"/>
                <w:sz w:val="20"/>
                <w:szCs w:val="20"/>
              </w:rPr>
              <w:t>13.98</w:t>
            </w:r>
            <w:r w:rsidRPr="00DB3005">
              <w:rPr>
                <w:spacing w:val="-5"/>
              </w:rPr>
              <w:t>dBm</w:t>
            </w:r>
          </w:p>
        </w:tc>
      </w:tr>
    </w:tbl>
    <w:p w14:paraId="2901024D" w14:textId="77777777" w:rsidR="00461263" w:rsidRPr="00DB3005" w:rsidRDefault="00461263">
      <w:pPr>
        <w:pStyle w:val="BodyText"/>
        <w:rPr>
          <w:sz w:val="21"/>
        </w:rPr>
      </w:pPr>
    </w:p>
    <w:p w14:paraId="26C2150C" w14:textId="77777777" w:rsidR="00461263" w:rsidRPr="00DB3005" w:rsidRDefault="00461263">
      <w:pPr>
        <w:sectPr w:rsidR="00461263" w:rsidRPr="00DB3005">
          <w:pgSz w:w="11908" w:h="16839"/>
          <w:pgMar w:top="1431" w:right="1786" w:bottom="0" w:left="1786" w:header="0" w:footer="0" w:gutter="0"/>
          <w:cols w:space="720"/>
        </w:sectPr>
      </w:pPr>
    </w:p>
    <w:p w14:paraId="7EAE355D" w14:textId="77777777" w:rsidR="00461263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lastRenderedPageBreak/>
        <w:t>Тестовете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SAR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провеждат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използвайки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стандартни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работни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позиции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при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които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предава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най-високото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сертифицирано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ниво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мощност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във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всички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честотни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диапазони</w:t>
      </w:r>
      <w:proofErr w:type="spellEnd"/>
      <w:r w:rsidRPr="001F1881">
        <w:rPr>
          <w:spacing w:val="-1"/>
          <w:sz w:val="22"/>
          <w:szCs w:val="22"/>
        </w:rPr>
        <w:t xml:space="preserve">. </w:t>
      </w:r>
      <w:proofErr w:type="spellStart"/>
      <w:r w:rsidRPr="001F1881">
        <w:rPr>
          <w:spacing w:val="-1"/>
          <w:sz w:val="22"/>
          <w:szCs w:val="22"/>
        </w:rPr>
        <w:t>Максималните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стойности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SAR,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това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в </w:t>
      </w:r>
      <w:proofErr w:type="spellStart"/>
      <w:r w:rsidRPr="001F1881">
        <w:rPr>
          <w:spacing w:val="-1"/>
          <w:sz w:val="22"/>
          <w:szCs w:val="22"/>
        </w:rPr>
        <w:t>нормалната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позиция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ухото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близо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тялото</w:t>
      </w:r>
      <w:proofErr w:type="spellEnd"/>
      <w:r w:rsidRPr="001F1881">
        <w:rPr>
          <w:spacing w:val="-1"/>
          <w:sz w:val="22"/>
          <w:szCs w:val="22"/>
        </w:rPr>
        <w:t xml:space="preserve"> (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минимално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разстояние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5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/0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), </w:t>
      </w:r>
      <w:proofErr w:type="spellStart"/>
      <w:r w:rsidRPr="001F1881">
        <w:rPr>
          <w:spacing w:val="-1"/>
          <w:sz w:val="22"/>
          <w:szCs w:val="22"/>
        </w:rPr>
        <w:t>са</w:t>
      </w:r>
      <w:proofErr w:type="spellEnd"/>
      <w:r w:rsidRPr="001F1881">
        <w:rPr>
          <w:spacing w:val="-1"/>
          <w:sz w:val="22"/>
          <w:szCs w:val="22"/>
        </w:rPr>
        <w:t>:</w:t>
      </w:r>
    </w:p>
    <w:p w14:paraId="7C421FFA" w14:textId="77777777" w:rsidR="00DB3005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14:paraId="0FD1A8F1" w14:textId="77777777"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tbl>
      <w:tblPr>
        <w:tblStyle w:val="TableNormal1"/>
        <w:tblW w:w="62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890"/>
        <w:gridCol w:w="1330"/>
      </w:tblGrid>
      <w:tr w:rsidR="00461263" w:rsidRPr="00DB3005" w14:paraId="654FA90A" w14:textId="77777777" w:rsidTr="001F1881">
        <w:trPr>
          <w:trHeight w:val="1249"/>
        </w:trPr>
        <w:tc>
          <w:tcPr>
            <w:tcW w:w="3055" w:type="dxa"/>
          </w:tcPr>
          <w:p w14:paraId="794AE769" w14:textId="77777777" w:rsidR="00461263" w:rsidRPr="001F1881" w:rsidRDefault="00DB3005">
            <w:pPr>
              <w:pStyle w:val="TableText"/>
              <w:spacing w:before="141" w:line="196" w:lineRule="auto"/>
              <w:ind w:left="132"/>
              <w:rPr>
                <w:color w:val="201F1F"/>
                <w:spacing w:val="-2"/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Максимална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стойност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SAR (W/kg)</w:t>
            </w:r>
          </w:p>
          <w:p w14:paraId="499C9A62" w14:textId="77777777" w:rsidR="00DB3005" w:rsidRPr="001F1881" w:rsidRDefault="00DB3005">
            <w:pPr>
              <w:pStyle w:val="TableText"/>
              <w:spacing w:before="141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Лимитът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е 2.0 (W/kg) </w:t>
            </w: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за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10-г</w:t>
            </w:r>
            <w:r w:rsidRPr="001F1881">
              <w:rPr>
                <w:color w:val="424242"/>
                <w:sz w:val="20"/>
                <w:szCs w:val="20"/>
                <w:shd w:val="clear" w:color="auto" w:fill="FAFAFA"/>
              </w:rPr>
              <w:t> </w:t>
            </w:r>
          </w:p>
        </w:tc>
        <w:tc>
          <w:tcPr>
            <w:tcW w:w="1890" w:type="dxa"/>
          </w:tcPr>
          <w:p w14:paraId="17DB8988" w14:textId="77777777" w:rsidR="00461263" w:rsidRPr="001F1881" w:rsidRDefault="000342C3">
            <w:pPr>
              <w:pStyle w:val="TableText"/>
              <w:spacing w:before="259" w:line="196" w:lineRule="auto"/>
              <w:ind w:left="5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8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32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8"/>
                <w:sz w:val="20"/>
                <w:szCs w:val="20"/>
              </w:rPr>
              <w:t>Body</w:t>
            </w:r>
          </w:p>
        </w:tc>
        <w:tc>
          <w:tcPr>
            <w:tcW w:w="1330" w:type="dxa"/>
          </w:tcPr>
          <w:p w14:paraId="5C37D768" w14:textId="77777777" w:rsidR="00461263" w:rsidRPr="001F1881" w:rsidRDefault="000342C3">
            <w:pPr>
              <w:pStyle w:val="TableText"/>
              <w:spacing w:before="259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  <w:tr w:rsidR="00461263" w:rsidRPr="00DB3005" w14:paraId="65800351" w14:textId="77777777" w:rsidTr="001F1881">
        <w:trPr>
          <w:trHeight w:val="622"/>
        </w:trPr>
        <w:tc>
          <w:tcPr>
            <w:tcW w:w="3055" w:type="dxa"/>
          </w:tcPr>
          <w:p w14:paraId="3C14D2EE" w14:textId="77777777" w:rsidR="00461263" w:rsidRPr="001F1881" w:rsidRDefault="00DB3005">
            <w:pPr>
              <w:pStyle w:val="TableText"/>
              <w:spacing w:before="97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Лимитът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е 4.0 (W/kg) </w:t>
            </w: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за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10-г</w:t>
            </w:r>
          </w:p>
        </w:tc>
        <w:tc>
          <w:tcPr>
            <w:tcW w:w="1890" w:type="dxa"/>
          </w:tcPr>
          <w:p w14:paraId="05ECB654" w14:textId="77777777" w:rsidR="00461263" w:rsidRPr="001F1881" w:rsidRDefault="000342C3">
            <w:pPr>
              <w:pStyle w:val="TableText"/>
              <w:spacing w:before="97" w:line="196" w:lineRule="auto"/>
              <w:ind w:left="212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7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42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Member</w:t>
            </w:r>
            <w:r w:rsidRPr="001F1881">
              <w:rPr>
                <w:color w:val="201F1F"/>
                <w:spacing w:val="19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DAS</w:t>
            </w:r>
          </w:p>
        </w:tc>
        <w:tc>
          <w:tcPr>
            <w:tcW w:w="1330" w:type="dxa"/>
          </w:tcPr>
          <w:p w14:paraId="651B5B07" w14:textId="77777777" w:rsidR="00461263" w:rsidRPr="001F1881" w:rsidRDefault="000342C3">
            <w:pPr>
              <w:pStyle w:val="TableText"/>
              <w:spacing w:before="97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</w:tbl>
    <w:p w14:paraId="7B0C2A37" w14:textId="77777777"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14:paraId="1CBC807C" w14:textId="77777777"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14:paraId="0699DC4F" w14:textId="77777777" w:rsidR="00461263" w:rsidRPr="001F1881" w:rsidRDefault="00DB3005">
      <w:pPr>
        <w:pStyle w:val="BodyText"/>
        <w:spacing w:line="418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Техническото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досие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съхранява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>.</w:t>
      </w:r>
    </w:p>
    <w:p w14:paraId="57A56C35" w14:textId="77777777"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Подписано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името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</w:t>
      </w:r>
    </w:p>
    <w:p w14:paraId="00351F39" w14:textId="77777777"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14:paraId="10FB8BC0" w14:textId="77777777"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длъжност</w:t>
      </w:r>
      <w:proofErr w:type="spellEnd"/>
      <w:r w:rsidRPr="001F1881">
        <w:rPr>
          <w:spacing w:val="-1"/>
          <w:sz w:val="22"/>
          <w:szCs w:val="22"/>
        </w:rPr>
        <w:t xml:space="preserve">: </w:t>
      </w:r>
      <w:proofErr w:type="spellStart"/>
      <w:proofErr w:type="gramStart"/>
      <w:r w:rsidRPr="001F1881">
        <w:rPr>
          <w:spacing w:val="-1"/>
          <w:sz w:val="22"/>
          <w:szCs w:val="22"/>
        </w:rPr>
        <w:t>zhang.liuwei</w:t>
      </w:r>
      <w:proofErr w:type="spellEnd"/>
      <w:proofErr w:type="gramEnd"/>
      <w:r w:rsidRPr="001F1881">
        <w:rPr>
          <w:spacing w:val="-1"/>
          <w:sz w:val="22"/>
          <w:szCs w:val="22"/>
        </w:rPr>
        <w:t>/</w:t>
      </w:r>
      <w:proofErr w:type="spellStart"/>
      <w:r w:rsidRPr="001F1881">
        <w:rPr>
          <w:spacing w:val="-1"/>
          <w:sz w:val="22"/>
          <w:szCs w:val="22"/>
        </w:rPr>
        <w:t>Мениджър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Адрес</w:t>
      </w:r>
      <w:proofErr w:type="spellEnd"/>
      <w:r w:rsidRPr="001F1881">
        <w:rPr>
          <w:spacing w:val="-1"/>
          <w:sz w:val="22"/>
          <w:szCs w:val="22"/>
        </w:rPr>
        <w:t xml:space="preserve">: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 xml:space="preserve">. </w:t>
      </w:r>
    </w:p>
    <w:p w14:paraId="1D2D0784" w14:textId="77777777"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14:paraId="63860EBA" w14:textId="77777777" w:rsidR="00461263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Имейл</w:t>
      </w:r>
      <w:proofErr w:type="spellEnd"/>
      <w:r w:rsidRPr="001F1881">
        <w:rPr>
          <w:spacing w:val="-1"/>
          <w:sz w:val="22"/>
          <w:szCs w:val="22"/>
        </w:rPr>
        <w:t>: info@blackview.hk</w:t>
      </w:r>
    </w:p>
    <w:p w14:paraId="28EFD555" w14:textId="77777777" w:rsidR="00461263" w:rsidRPr="00DB3005" w:rsidRDefault="000342C3">
      <w:pPr>
        <w:pStyle w:val="BodyText"/>
        <w:spacing w:before="86" w:line="210" w:lineRule="auto"/>
        <w:ind w:right="36"/>
        <w:jc w:val="right"/>
        <w:rPr>
          <w:sz w:val="30"/>
          <w:szCs w:val="30"/>
        </w:rPr>
      </w:pPr>
      <w:proofErr w:type="spellStart"/>
      <w:r w:rsidRPr="00DB3005">
        <w:rPr>
          <w:color w:val="E3E3E3"/>
          <w:spacing w:val="-19"/>
          <w:sz w:val="30"/>
          <w:szCs w:val="30"/>
        </w:rPr>
        <w:t>zh</w:t>
      </w:r>
      <w:proofErr w:type="spellEnd"/>
      <w:r w:rsidRPr="00DB3005">
        <w:rPr>
          <w:color w:val="E3E3E3"/>
          <w:spacing w:val="-36"/>
          <w:sz w:val="30"/>
          <w:szCs w:val="30"/>
        </w:rPr>
        <w:t xml:space="preserve"> </w:t>
      </w:r>
      <w:r w:rsidRPr="00DB3005">
        <w:rPr>
          <w:color w:val="E3E3E3"/>
          <w:spacing w:val="-19"/>
          <w:sz w:val="30"/>
          <w:szCs w:val="30"/>
        </w:rPr>
        <w:t>avg.</w:t>
      </w:r>
      <w:r w:rsidRPr="00DB3005">
        <w:rPr>
          <w:color w:val="E3E3E3"/>
          <w:spacing w:val="-44"/>
          <w:sz w:val="30"/>
          <w:szCs w:val="30"/>
        </w:rPr>
        <w:t xml:space="preserve"> </w:t>
      </w:r>
      <w:r w:rsidRPr="00DB3005">
        <w:rPr>
          <w:rFonts w:eastAsia="SimSun"/>
          <w:color w:val="E3E3E3"/>
          <w:spacing w:val="-44"/>
          <w:sz w:val="30"/>
          <w:szCs w:val="30"/>
          <w:lang w:eastAsia="zh-CN"/>
        </w:rPr>
        <w:t xml:space="preserve">L </w:t>
      </w:r>
      <w:proofErr w:type="spellStart"/>
      <w:r w:rsidRPr="00DB3005">
        <w:rPr>
          <w:color w:val="E3E3E3"/>
          <w:spacing w:val="-19"/>
          <w:sz w:val="30"/>
          <w:szCs w:val="30"/>
        </w:rPr>
        <w:t>iu</w:t>
      </w:r>
      <w:proofErr w:type="spellEnd"/>
      <w:r w:rsidRPr="00DB3005">
        <w:rPr>
          <w:color w:val="E3E3E3"/>
          <w:spacing w:val="-43"/>
          <w:sz w:val="30"/>
          <w:szCs w:val="30"/>
        </w:rPr>
        <w:t xml:space="preserve"> </w:t>
      </w:r>
      <w:proofErr w:type="spellStart"/>
      <w:r w:rsidRPr="00DB3005">
        <w:rPr>
          <w:color w:val="E3E3E3"/>
          <w:spacing w:val="-19"/>
          <w:sz w:val="30"/>
          <w:szCs w:val="30"/>
        </w:rPr>
        <w:t>wei</w:t>
      </w:r>
      <w:proofErr w:type="spellEnd"/>
    </w:p>
    <w:p w14:paraId="13D7D69A" w14:textId="77777777" w:rsidR="001F1881" w:rsidRDefault="001F1881" w:rsidP="001F1881">
      <w:pPr>
        <w:pStyle w:val="BodyText"/>
        <w:spacing w:before="127" w:line="231" w:lineRule="auto"/>
        <w:ind w:left="5661" w:right="46"/>
        <w:rPr>
          <w:spacing w:val="-2"/>
          <w:sz w:val="20"/>
          <w:szCs w:val="20"/>
        </w:rPr>
      </w:pPr>
      <w:proofErr w:type="spellStart"/>
      <w:r w:rsidRPr="001F1881">
        <w:rPr>
          <w:spacing w:val="-2"/>
          <w:sz w:val="20"/>
          <w:szCs w:val="20"/>
        </w:rPr>
        <w:t>Подпис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на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упълномощеното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лице</w:t>
      </w:r>
      <w:proofErr w:type="spellEnd"/>
      <w:r>
        <w:rPr>
          <w:spacing w:val="-2"/>
          <w:sz w:val="20"/>
          <w:szCs w:val="20"/>
        </w:rPr>
        <w:t>:</w:t>
      </w:r>
    </w:p>
    <w:p w14:paraId="5A5098AD" w14:textId="77777777" w:rsidR="00461263" w:rsidRPr="00DB3005" w:rsidRDefault="000342C3">
      <w:pPr>
        <w:pStyle w:val="BodyText"/>
        <w:spacing w:before="127" w:line="231" w:lineRule="auto"/>
        <w:ind w:left="7411" w:right="46" w:hanging="1750"/>
        <w:rPr>
          <w:sz w:val="20"/>
          <w:szCs w:val="20"/>
        </w:rPr>
      </w:pPr>
      <w:r w:rsidRPr="00DB3005">
        <w:rPr>
          <w:spacing w:val="-6"/>
          <w:sz w:val="20"/>
          <w:szCs w:val="20"/>
        </w:rPr>
        <w:t>2024-07- 10</w:t>
      </w:r>
      <w:bookmarkEnd w:id="0"/>
    </w:p>
    <w:sectPr w:rsidR="00461263" w:rsidRPr="00DB3005">
      <w:pgSz w:w="11908" w:h="16839"/>
      <w:pgMar w:top="1431" w:right="1751" w:bottom="0" w:left="16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3FEF0" w14:textId="77777777" w:rsidR="000342C3" w:rsidRDefault="000342C3">
      <w:r>
        <w:separator/>
      </w:r>
    </w:p>
  </w:endnote>
  <w:endnote w:type="continuationSeparator" w:id="0">
    <w:p w14:paraId="68D80C29" w14:textId="77777777" w:rsidR="000342C3" w:rsidRDefault="0003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302E" w14:textId="77777777" w:rsidR="000342C3" w:rsidRDefault="000342C3">
      <w:r>
        <w:separator/>
      </w:r>
    </w:p>
  </w:footnote>
  <w:footnote w:type="continuationSeparator" w:id="0">
    <w:p w14:paraId="10203453" w14:textId="77777777" w:rsidR="000342C3" w:rsidRDefault="0003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2YjMyNTBiZWZhNDBlMjViMGE1OThjOGE5YmIzZTUifQ=="/>
  </w:docVars>
  <w:rsids>
    <w:rsidRoot w:val="00461263"/>
    <w:rsid w:val="000342C3"/>
    <w:rsid w:val="001F1881"/>
    <w:rsid w:val="00461263"/>
    <w:rsid w:val="00560BD5"/>
    <w:rsid w:val="00BF27CF"/>
    <w:rsid w:val="00DB3005"/>
    <w:rsid w:val="766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1B2F"/>
  <w15:docId w15:val="{6C0252D0-D11C-438C-B001-7173C783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15"/>
      <w:szCs w:val="15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B300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B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9" ma:contentTypeDescription="Create a new document." ma:contentTypeScope="" ma:versionID="54cd68f157b1569b2fc34ce8b0c6f0f5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7b99877816d37ef0aa6a3fa32c943b43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43A28581-18C8-4241-A078-B3CFA99B4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17615-31B1-4B39-A532-EF47394A9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0F9F4-9E0D-4C24-B4DC-E4E66FFD4B4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50e6cfbe-33d0-482c-984f-d8135472bdf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2</cp:revision>
  <dcterms:created xsi:type="dcterms:W3CDTF">2025-05-19T12:16:00Z</dcterms:created>
  <dcterms:modified xsi:type="dcterms:W3CDTF">2025-05-19T12:16:00Z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2024-07-22T15:15:27Z</vt:filetime>
  </property>
  <property fmtid="{D5CDD505-2E9C-101B-9397-08002B2CF9AE}" pid="4" name="KSOProductBuildVer">
    <vt:lpwstr>2052-12.1.0.17147</vt:lpwstr>
  </property>
  <property fmtid="{D5CDD505-2E9C-101B-9397-08002B2CF9AE}" pid="5" name="ICV">
    <vt:lpwstr>8ECECFBC37314E5C95398B22DC58E178_12</vt:lpwstr>
  </property>
  <property fmtid="{D5CDD505-2E9C-101B-9397-08002B2CF9AE}" pid="6" name="ContentTypeId">
    <vt:lpwstr>0x01010034B2792FAA041741AE65E7D3F5969C01</vt:lpwstr>
  </property>
</Properties>
</file>